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3"/>
        <w:spacing w:lineRule="auto" w:line="276"/>
        <w:jc w:val="center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</w:r>
    </w:p>
    <w:p>
      <w:pPr>
        <w:pStyle w:val="Ttulo3"/>
        <w:spacing w:lineRule="auto" w:line="276"/>
        <w:jc w:val="center"/>
        <w:rPr/>
      </w:pPr>
      <w:r>
        <w:rPr>
          <w:rFonts w:cs="Garamond" w:ascii="Garamond" w:hAnsi="Garamond"/>
          <w:sz w:val="24"/>
        </w:rPr>
        <w:t xml:space="preserve">NOTA TÉCNICA N º </w:t>
      </w:r>
      <w:r>
        <w:rPr>
          <w:rFonts w:cs="Garamond" w:ascii="Garamond" w:hAnsi="Garamond"/>
          <w:sz w:val="24"/>
        </w:rPr>
        <w:t>02</w:t>
      </w:r>
      <w:r>
        <w:rPr>
          <w:rFonts w:cs="Garamond" w:ascii="Garamond" w:hAnsi="Garamond"/>
          <w:sz w:val="24"/>
        </w:rPr>
        <w:t>/2020</w:t>
      </w:r>
    </w:p>
    <w:p>
      <w:pPr>
        <w:pStyle w:val="Standard"/>
        <w:spacing w:lineRule="auto" w:line="276"/>
        <w:jc w:val="center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Ttulodetabela"/>
        <w:spacing w:lineRule="auto" w:line="276"/>
        <w:rPr/>
      </w:pPr>
      <w:r>
        <w:rPr>
          <w:rFonts w:cs="Garamond" w:ascii="Garamond" w:hAnsi="Garamond"/>
        </w:rPr>
        <w:t>PAAF 0024.19.006313-1</w:t>
      </w:r>
    </w:p>
    <w:p>
      <w:pPr>
        <w:pStyle w:val="Ttulodetabela"/>
        <w:spacing w:lineRule="auto" w:line="276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>
          <w:rFonts w:cs="Garamond" w:ascii="Garamond" w:hAnsi="Garamond"/>
          <w:b/>
          <w:bCs/>
        </w:rPr>
        <w:t xml:space="preserve">Objeto: </w:t>
      </w:r>
      <w:r>
        <w:rPr>
          <w:rFonts w:cs="Garamond" w:ascii="Garamond" w:hAnsi="Garamond"/>
          <w:b w:val="false"/>
          <w:bCs w:val="false"/>
        </w:rPr>
        <w:t>Imóvel da antiga Caixa d’ água.</w:t>
      </w:r>
    </w:p>
    <w:p>
      <w:pPr>
        <w:pStyle w:val="Standard"/>
        <w:spacing w:lineRule="auto" w:line="276"/>
        <w:ind w:left="720" w:hanging="0"/>
        <w:jc w:val="both"/>
        <w:rPr>
          <w:rFonts w:ascii="Garamond" w:hAnsi="Garamond" w:cs="Garamond"/>
          <w:b/>
          <w:b/>
          <w:bCs/>
        </w:rPr>
      </w:pPr>
      <w:r>
        <w:rPr>
          <w:rFonts w:cs="Garamond" w:ascii="Garamond" w:hAnsi="Garamond"/>
          <w:b/>
          <w:bCs/>
        </w:rPr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rFonts w:ascii="Garamond" w:hAnsi="Garamond"/>
        </w:rPr>
      </w:pPr>
      <w:r>
        <w:rPr>
          <w:rFonts w:cs="Garamond" w:ascii="Garamond" w:hAnsi="Garamond"/>
          <w:b/>
          <w:bCs/>
        </w:rPr>
        <w:t xml:space="preserve">Município: </w:t>
      </w:r>
      <w:r>
        <w:rPr>
          <w:rFonts w:cs="Garamond" w:ascii="Garamond" w:hAnsi="Garamond"/>
          <w:bCs/>
        </w:rPr>
        <w:t xml:space="preserve">Formiga </w:t>
      </w:r>
    </w:p>
    <w:p>
      <w:pPr>
        <w:pStyle w:val="Standard"/>
        <w:spacing w:lineRule="auto" w:line="276"/>
        <w:ind w:left="720" w:hanging="0"/>
        <w:jc w:val="both"/>
        <w:rPr>
          <w:rFonts w:ascii="Garamond" w:hAnsi="Garamond" w:cs="Garamond"/>
          <w:b/>
          <w:b/>
          <w:bCs/>
        </w:rPr>
      </w:pPr>
      <w:r>
        <w:rPr>
          <w:rFonts w:cs="Garamond" w:ascii="Garamond" w:hAnsi="Garamond"/>
          <w:b/>
          <w:bCs/>
        </w:rPr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>
          <w:rFonts w:cs="Garamond" w:ascii="Garamond" w:hAnsi="Garamond"/>
          <w:b/>
          <w:bCs/>
        </w:rPr>
        <w:t xml:space="preserve">Proprietário: </w:t>
      </w:r>
      <w:r>
        <w:rPr>
          <w:rFonts w:cs="Garamond" w:ascii="Garamond" w:hAnsi="Garamond"/>
          <w:b w:val="false"/>
          <w:bCs w:val="false"/>
        </w:rPr>
        <w:t>Município de Formiga.</w:t>
      </w:r>
    </w:p>
    <w:p>
      <w:pPr>
        <w:pStyle w:val="ListParagraph"/>
        <w:ind w:left="1440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>
          <w:rFonts w:ascii="Garamond" w:hAnsi="Garamond"/>
          <w:b/>
        </w:rPr>
        <w:t>Proteção existente</w:t>
      </w:r>
      <w:r>
        <w:rPr>
          <w:rFonts w:ascii="Garamond" w:hAnsi="Garamond"/>
        </w:rPr>
        <w:t xml:space="preserve">: Tombamento municipal- </w:t>
      </w:r>
      <w:r>
        <w:rPr>
          <w:rFonts w:eastAsia="MS Mincho;‚l‚r –¾’©" w:ascii="Garamond" w:hAnsi="Garamond"/>
        </w:rPr>
        <w:t>Decreto Municipal nº 5.673/2012, revogado pelo Decreto nº 6.031/2013.</w:t>
      </w:r>
      <w:r>
        <w:rPr>
          <w:rFonts w:ascii="Garamond" w:hAnsi="Garamond"/>
        </w:rPr>
        <w:t xml:space="preserve"> </w:t>
      </w:r>
    </w:p>
    <w:p>
      <w:pPr>
        <w:pStyle w:val="Standard"/>
        <w:spacing w:lineRule="auto" w:line="276"/>
        <w:ind w:left="720" w:hanging="0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>
          <w:rFonts w:ascii="Garamond" w:hAnsi="Garamond"/>
          <w:b/>
          <w:bCs/>
        </w:rPr>
        <w:t xml:space="preserve">Objetivo: </w:t>
      </w:r>
      <w:r>
        <w:rPr>
          <w:rFonts w:ascii="Garamond" w:hAnsi="Garamond"/>
          <w:b w:val="false"/>
          <w:bCs w:val="false"/>
        </w:rPr>
        <w:t>Análise de nova documentação juntada aos autos pela Prefeitura Municipal de Formiga.</w:t>
      </w:r>
    </w:p>
    <w:p>
      <w:pPr>
        <w:pStyle w:val="Standard"/>
        <w:spacing w:lineRule="auto" w:line="276"/>
        <w:jc w:val="center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>
          <w:rFonts w:cs="Garamond" w:ascii="Garamond" w:hAnsi="Garamond"/>
          <w:b/>
          <w:bCs/>
        </w:rPr>
        <w:t>Considerações preliminares:</w:t>
      </w:r>
    </w:p>
    <w:p>
      <w:pPr>
        <w:pStyle w:val="Standard"/>
        <w:spacing w:lineRule="auto" w:line="276"/>
        <w:jc w:val="both"/>
        <w:rPr>
          <w:rFonts w:ascii="Garamond" w:hAnsi="Garamond" w:cs="Garamond"/>
          <w:b/>
          <w:b/>
          <w:bCs/>
        </w:rPr>
      </w:pPr>
      <w:r>
        <w:rPr>
          <w:rFonts w:cs="Garamond" w:ascii="Garamond" w:hAnsi="Garamond"/>
          <w:b/>
          <w:bCs/>
        </w:rPr>
      </w:r>
    </w:p>
    <w:p>
      <w:pPr>
        <w:pStyle w:val="Standard"/>
        <w:spacing w:lineRule="auto" w:line="276"/>
        <w:jc w:val="both"/>
        <w:rPr/>
      </w:pPr>
      <w:r>
        <w:rPr>
          <w:rFonts w:cs="Garamond" w:ascii="Garamond" w:hAnsi="Garamond"/>
          <w:b/>
          <w:bCs/>
        </w:rPr>
        <w:tab/>
      </w:r>
      <w:r>
        <w:rPr>
          <w:rFonts w:cs="Garamond" w:ascii="Garamond" w:hAnsi="Garamond"/>
          <w:b w:val="false"/>
          <w:bCs w:val="false"/>
        </w:rPr>
        <w:t>Em 12 de maio de 2015, o setor técnico desta coordenadoria elaborou a Nota Técnica nº 48/2015 sobre o valor cultural da antiga Caixa d’água, localizada no bairro do Rosário, município de Formiga. Conclui</w:t>
      </w:r>
      <w:r>
        <w:rPr>
          <w:rFonts w:cs="Garamond" w:ascii="Garamond" w:hAnsi="Garamond"/>
          <w:b w:val="false"/>
          <w:bCs w:val="false"/>
        </w:rPr>
        <w:t>u</w:t>
      </w:r>
      <w:r>
        <w:rPr>
          <w:rFonts w:cs="Garamond" w:ascii="Garamond" w:hAnsi="Garamond"/>
          <w:b w:val="false"/>
          <w:bCs w:val="false"/>
        </w:rPr>
        <w:t>-se que:</w:t>
      </w:r>
    </w:p>
    <w:p>
      <w:pPr>
        <w:pStyle w:val="Standard"/>
        <w:spacing w:lineRule="auto" w:line="276"/>
        <w:jc w:val="both"/>
        <w:rPr>
          <w:rFonts w:ascii="Garamond" w:hAnsi="Garamond" w:cs="Garamond"/>
          <w:b w:val="false"/>
          <w:b w:val="false"/>
          <w:bCs w:val="false"/>
        </w:rPr>
      </w:pPr>
      <w:r>
        <w:rPr>
          <w:rFonts w:cs="Garamond" w:ascii="Garamond" w:hAnsi="Garamond"/>
          <w:b w:val="false"/>
          <w:bCs w:val="false"/>
        </w:rPr>
      </w:r>
    </w:p>
    <w:p>
      <w:pPr>
        <w:pStyle w:val="Normal"/>
        <w:bidi w:val="0"/>
        <w:spacing w:lineRule="auto" w:line="276"/>
        <w:ind w:left="1470" w:right="0" w:hanging="0"/>
        <w:jc w:val="both"/>
        <w:rPr>
          <w:rFonts w:ascii="Garamond" w:hAnsi="Garamond"/>
          <w:b w:val="false"/>
          <w:b w:val="false"/>
          <w:bCs w:val="false"/>
        </w:rPr>
      </w:pPr>
      <w:r>
        <w:rPr>
          <w:rFonts w:ascii="Garamond" w:hAnsi="Garamond"/>
          <w:b w:val="false"/>
          <w:bCs w:val="false"/>
        </w:rPr>
        <w:t>- O imóvel da  antiga Caixa d’água do Rosário ou Reservatório de Água da Lajinha possui um valor de rememoração, ou seja, representa</w:t>
      </w:r>
      <w:r>
        <w:rPr>
          <w:rFonts w:ascii="Garamond" w:hAnsi="Garamond"/>
          <w:b w:val="false"/>
          <w:bCs w:val="false"/>
        </w:rPr>
        <w:t>va</w:t>
      </w:r>
      <w:r>
        <w:rPr>
          <w:rFonts w:ascii="Garamond" w:hAnsi="Garamond"/>
          <w:b w:val="false"/>
          <w:bCs w:val="false"/>
        </w:rPr>
        <w:t xml:space="preserve"> no presente um importante momento histórico do passado do município de Formiga;</w:t>
      </w:r>
    </w:p>
    <w:p>
      <w:pPr>
        <w:pStyle w:val="Normal"/>
        <w:bidi w:val="0"/>
        <w:spacing w:lineRule="auto" w:line="276"/>
        <w:ind w:left="1470" w:right="0" w:hanging="0"/>
        <w:jc w:val="left"/>
        <w:rPr>
          <w:rFonts w:ascii="Garamond" w:hAnsi="Garamond"/>
          <w:b w:val="false"/>
          <w:b w:val="false"/>
          <w:bCs w:val="false"/>
        </w:rPr>
      </w:pPr>
      <w:r>
        <w:rPr>
          <w:rFonts w:ascii="Garamond" w:hAnsi="Garamond"/>
          <w:b w:val="false"/>
          <w:bCs w:val="false"/>
        </w:rPr>
      </w:r>
    </w:p>
    <w:p>
      <w:pPr>
        <w:pStyle w:val="Normal"/>
        <w:bidi w:val="0"/>
        <w:spacing w:lineRule="auto" w:line="276"/>
        <w:ind w:left="1470" w:right="0" w:hanging="0"/>
        <w:jc w:val="both"/>
        <w:rPr>
          <w:rFonts w:ascii="Garamond" w:hAnsi="Garamond"/>
          <w:b w:val="false"/>
          <w:b w:val="false"/>
          <w:bCs w:val="false"/>
        </w:rPr>
      </w:pPr>
      <w:r>
        <w:rPr>
          <w:rFonts w:ascii="Garamond" w:hAnsi="Garamond"/>
          <w:b w:val="false"/>
          <w:bCs w:val="false"/>
        </w:rPr>
        <w:t xml:space="preserve">- A relevância da antiga Caixa d’água do Rosário foi reconhecida pelo Poder Público Municipal por meio do Decreto nº 5.673/2012 que estabeleceu seu tombamento. Contudo, este decreto foi revogado pelo Decreto nº </w:t>
      </w:r>
      <w:bookmarkStart w:id="0" w:name="__DdeLink__227_2081156788"/>
      <w:r>
        <w:rPr>
          <w:rFonts w:ascii="Garamond" w:hAnsi="Garamond"/>
          <w:b w:val="false"/>
          <w:bCs w:val="false"/>
        </w:rPr>
        <w:t>6.031/2013</w:t>
      </w:r>
      <w:bookmarkEnd w:id="0"/>
      <w:r>
        <w:rPr>
          <w:rFonts w:ascii="Garamond" w:hAnsi="Garamond"/>
          <w:b w:val="false"/>
          <w:bCs w:val="false"/>
        </w:rPr>
        <w:t>, sob a alegação de que os procedimentos para tombamento do Reservatório d’ água da Lajinha não respeitaram os trâmites legais.</w:t>
      </w:r>
    </w:p>
    <w:p>
      <w:pPr>
        <w:pStyle w:val="Normal"/>
        <w:bidi w:val="0"/>
        <w:spacing w:lineRule="auto" w:line="276"/>
        <w:ind w:left="1470" w:right="0" w:hanging="0"/>
        <w:jc w:val="both"/>
        <w:rPr>
          <w:rFonts w:ascii="Garamond" w:hAnsi="Garamond"/>
          <w:b w:val="false"/>
          <w:b w:val="false"/>
          <w:bCs w:val="false"/>
        </w:rPr>
      </w:pPr>
      <w:r>
        <w:rPr>
          <w:rFonts w:ascii="Garamond" w:hAnsi="Garamond"/>
          <w:b w:val="false"/>
          <w:bCs w:val="false"/>
        </w:rPr>
      </w:r>
    </w:p>
    <w:p>
      <w:pPr>
        <w:pStyle w:val="Normal"/>
        <w:bidi w:val="0"/>
        <w:spacing w:lineRule="auto" w:line="276"/>
        <w:ind w:left="1470" w:right="0" w:hanging="0"/>
        <w:jc w:val="both"/>
        <w:rPr>
          <w:rFonts w:ascii="Garamond" w:hAnsi="Garamond"/>
          <w:b w:val="false"/>
          <w:b w:val="false"/>
          <w:bCs w:val="false"/>
        </w:rPr>
      </w:pPr>
      <w:r>
        <w:rPr>
          <w:rFonts w:ascii="Garamond" w:hAnsi="Garamond"/>
          <w:b w:val="false"/>
          <w:bCs w:val="false"/>
        </w:rPr>
        <w:t xml:space="preserve">- O valor cultural da antiga Caixa d’água para história do município e de sua população não foi questionado pelo Decreto 6.031/2013 que revogou o tombamento do bem.  </w:t>
      </w:r>
    </w:p>
    <w:p>
      <w:pPr>
        <w:pStyle w:val="Normal"/>
        <w:bidi w:val="0"/>
        <w:spacing w:lineRule="auto" w:line="276"/>
        <w:ind w:left="1470" w:right="0" w:firstLine="708"/>
        <w:jc w:val="both"/>
        <w:rPr>
          <w:rFonts w:ascii="Garamond" w:hAnsi="Garamond"/>
          <w:b w:val="false"/>
          <w:b w:val="false"/>
          <w:bCs w:val="false"/>
        </w:rPr>
      </w:pPr>
      <w:r>
        <w:rPr>
          <w:rFonts w:ascii="Garamond" w:hAnsi="Garamond"/>
          <w:b w:val="false"/>
          <w:bCs w:val="false"/>
        </w:rPr>
      </w:r>
    </w:p>
    <w:p>
      <w:pPr>
        <w:pStyle w:val="Normal"/>
        <w:bidi w:val="0"/>
        <w:spacing w:lineRule="auto" w:line="276"/>
        <w:ind w:left="1470" w:right="0" w:hanging="0"/>
        <w:jc w:val="both"/>
        <w:rPr>
          <w:rFonts w:ascii="Garamond" w:hAnsi="Garamond"/>
          <w:b w:val="false"/>
          <w:b w:val="false"/>
          <w:bCs w:val="false"/>
        </w:rPr>
      </w:pPr>
      <w:r>
        <w:rPr>
          <w:rFonts w:ascii="Garamond" w:hAnsi="Garamond"/>
          <w:b w:val="false"/>
          <w:bCs w:val="false"/>
        </w:rPr>
        <w:t xml:space="preserve">- A proteção da antiga Caixa d’água do Rosário ou  Reservatório d’ água da Lajinha deveria ser mantida, pois na </w:t>
      </w:r>
      <w:r>
        <w:rPr>
          <w:rStyle w:val="H1"/>
          <w:rFonts w:cs="Garamond" w:ascii="Garamond" w:hAnsi="Garamond"/>
          <w:b w:val="false"/>
          <w:bCs w:val="false"/>
          <w:szCs w:val="20"/>
        </w:rPr>
        <w:t>época em que ocorreu o tombamento (2012), a edificação</w:t>
      </w:r>
      <w:r>
        <w:rPr>
          <w:rFonts w:eastAsia="MS Mincho;‚l‚r –¾’©" w:cs="Garamond" w:ascii="Garamond" w:hAnsi="Garamond"/>
          <w:b w:val="false"/>
          <w:bCs w:val="false"/>
        </w:rPr>
        <w:t xml:space="preserve"> </w:t>
      </w:r>
      <w:r>
        <w:rPr>
          <w:rStyle w:val="H1"/>
          <w:rFonts w:cs="Garamond" w:ascii="Garamond" w:hAnsi="Garamond"/>
          <w:b w:val="false"/>
          <w:bCs w:val="false"/>
          <w:szCs w:val="20"/>
        </w:rPr>
        <w:t>já se encontrava  profundamente descaracterizada.</w:t>
      </w:r>
    </w:p>
    <w:p>
      <w:pPr>
        <w:pStyle w:val="Normal"/>
        <w:bidi w:val="0"/>
        <w:spacing w:lineRule="auto" w:line="276"/>
        <w:ind w:left="1470" w:right="0" w:hanging="0"/>
        <w:jc w:val="both"/>
        <w:rPr>
          <w:rFonts w:ascii="Garamond" w:hAnsi="Garamond"/>
          <w:b w:val="false"/>
          <w:b w:val="false"/>
          <w:bCs w:val="false"/>
        </w:rPr>
      </w:pPr>
      <w:r>
        <w:rPr>
          <w:rFonts w:ascii="Garamond" w:hAnsi="Garamond"/>
          <w:b w:val="false"/>
          <w:bCs w:val="false"/>
        </w:rPr>
      </w:r>
    </w:p>
    <w:p>
      <w:pPr>
        <w:pStyle w:val="Normal"/>
        <w:bidi w:val="0"/>
        <w:spacing w:lineRule="auto" w:line="276"/>
        <w:ind w:right="0" w:hanging="0"/>
        <w:jc w:val="both"/>
        <w:rPr/>
      </w:pPr>
      <w:r>
        <w:rPr>
          <w:rFonts w:ascii="Garamond" w:hAnsi="Garamond"/>
          <w:b w:val="false"/>
          <w:bCs w:val="false"/>
        </w:rPr>
        <w:tab/>
        <w:t xml:space="preserve">A </w:t>
      </w:r>
      <w:r>
        <w:rPr>
          <w:rFonts w:cs="Garamond" w:ascii="Garamond" w:hAnsi="Garamond"/>
          <w:b w:val="false"/>
          <w:bCs w:val="false"/>
        </w:rPr>
        <w:t xml:space="preserve">Nota Técnica nº 48/2015  sugeriu a elaboração de um projeto de recuperação do espaço da antiga Caixa d’ água do Rosário, procurando manter as características originais do imóvel ainda existentes. Ressaltou-se que, para a preservação do imóvel, seria importante atribuir uso à edificação. </w:t>
      </w:r>
    </w:p>
    <w:p>
      <w:pPr>
        <w:pStyle w:val="Normal"/>
        <w:bidi w:val="0"/>
        <w:spacing w:lineRule="auto" w:line="276"/>
        <w:ind w:right="0" w:hanging="0"/>
        <w:jc w:val="both"/>
        <w:rPr>
          <w:rFonts w:ascii="Garamond" w:hAnsi="Garamond" w:cs="Garamond"/>
          <w:b w:val="false"/>
          <w:b w:val="false"/>
          <w:bCs w:val="false"/>
        </w:rPr>
      </w:pPr>
      <w:r>
        <w:rPr>
          <w:rFonts w:cs="Garamond" w:ascii="Garamond" w:hAnsi="Garamond"/>
          <w:b w:val="false"/>
          <w:bCs w:val="false"/>
        </w:rPr>
      </w:r>
    </w:p>
    <w:p>
      <w:pPr>
        <w:pStyle w:val="Normal"/>
        <w:bidi w:val="0"/>
        <w:spacing w:lineRule="auto" w:line="276"/>
        <w:ind w:right="0" w:hanging="0"/>
        <w:jc w:val="both"/>
        <w:rPr/>
      </w:pPr>
      <w:r>
        <w:rPr>
          <w:rFonts w:cs="Garamond" w:ascii="Garamond" w:hAnsi="Garamond"/>
          <w:b w:val="false"/>
          <w:bCs w:val="false"/>
        </w:rPr>
        <w:tab/>
        <w:t>Em 11 de setembro de 2018, por meio de ofício</w:t>
      </w:r>
      <w:r>
        <w:rPr>
          <w:rStyle w:val="Ncoradanotaderodap"/>
          <w:rFonts w:cs="Garamond" w:ascii="Garamond" w:hAnsi="Garamond"/>
          <w:b w:val="false"/>
          <w:bCs w:val="false"/>
        </w:rPr>
        <w:footnoteReference w:id="2"/>
      </w:r>
      <w:r>
        <w:rPr>
          <w:rFonts w:cs="Garamond" w:ascii="Garamond" w:hAnsi="Garamond"/>
          <w:b w:val="false"/>
          <w:bCs w:val="false"/>
        </w:rPr>
        <w:t xml:space="preserve">, a Secretaria Municipal de Cultura de Formiga informou à Promotoria local que o município reconhece e compreende que o imóvel denominado Reservatório D’ Água da Lajinha, situado na Praça do Cruzeiro iluminado, entre a Rua Francisco Frade e a Rua José Francino de Oliveira faz parte da memória de Formiga. Contudo, o bem já se encontra bastante descaracterizado e sem boas perspectivas de resgate da originalidade. Informou também que foram solicitadas manifestações do SAAE- Serviço Autônomo de Água e Esgoto e da SSVP- Sociedade São Vicente de Paulo e ambos pronunciaram que não tinham interesse em assumir a responsabilidade do imóvel. </w:t>
      </w:r>
    </w:p>
    <w:p>
      <w:pPr>
        <w:pStyle w:val="Normal"/>
        <w:bidi w:val="0"/>
        <w:spacing w:lineRule="auto" w:line="276"/>
        <w:ind w:right="0" w:hanging="0"/>
        <w:jc w:val="both"/>
        <w:rPr>
          <w:rFonts w:ascii="Garamond" w:hAnsi="Garamond" w:cs="Garamond"/>
          <w:b w:val="false"/>
          <w:b w:val="false"/>
          <w:bCs w:val="false"/>
        </w:rPr>
      </w:pPr>
      <w:r>
        <w:rPr>
          <w:rFonts w:cs="Garamond" w:ascii="Garamond" w:hAnsi="Garamond"/>
          <w:b w:val="false"/>
          <w:bCs w:val="false"/>
        </w:rPr>
      </w:r>
    </w:p>
    <w:p>
      <w:pPr>
        <w:pStyle w:val="Normal"/>
        <w:bidi w:val="0"/>
        <w:spacing w:lineRule="auto" w:line="276"/>
        <w:ind w:right="0" w:hanging="0"/>
        <w:jc w:val="both"/>
        <w:rPr/>
      </w:pPr>
      <w:r>
        <w:rPr>
          <w:rFonts w:cs="Garamond" w:ascii="Garamond" w:hAnsi="Garamond"/>
          <w:b w:val="false"/>
          <w:bCs w:val="false"/>
        </w:rPr>
        <w:tab/>
        <w:t>Anexo ao ofício, constam os seguintes documentos:</w:t>
      </w:r>
    </w:p>
    <w:p>
      <w:pPr>
        <w:pStyle w:val="Normal"/>
        <w:bidi w:val="0"/>
        <w:spacing w:lineRule="auto" w:line="276"/>
        <w:ind w:right="0" w:hanging="0"/>
        <w:jc w:val="both"/>
        <w:rPr>
          <w:rFonts w:ascii="Garamond" w:hAnsi="Garamond" w:cs="Garamond"/>
          <w:b w:val="false"/>
          <w:b w:val="false"/>
          <w:bCs w:val="false"/>
        </w:rPr>
      </w:pPr>
      <w:r>
        <w:rPr>
          <w:rFonts w:cs="Garamond" w:ascii="Garamond" w:hAnsi="Garamond"/>
          <w:b w:val="false"/>
          <w:bCs w:val="false"/>
        </w:rPr>
      </w:r>
    </w:p>
    <w:p>
      <w:pPr>
        <w:pStyle w:val="Normal"/>
        <w:bidi w:val="0"/>
        <w:spacing w:lineRule="auto" w:line="276"/>
        <w:ind w:right="0" w:hanging="0"/>
        <w:jc w:val="both"/>
        <w:rPr/>
      </w:pPr>
      <w:r>
        <w:rPr>
          <w:rFonts w:cs="Garamond" w:ascii="Garamond" w:hAnsi="Garamond"/>
          <w:b w:val="false"/>
          <w:bCs w:val="false"/>
        </w:rPr>
        <w:tab/>
        <w:t xml:space="preserve">1. Laudo Técnico elaborado por engenheiro civil da Secretaria Municipal de Obras e Trânsito após vistoria ao imóvel do Reservatório D’ Água da Lajinha. De acordo com o laudo, o imóvel apresenta infiltrações e trincas nas paredes; ausência de cobertura; janelas e portas em péssimo estado de conservação; reboco e pintura danificados. Destacou-se que o banheiro possui </w:t>
      </w:r>
      <w:r>
        <w:rPr>
          <w:rFonts w:cs="Garamond" w:ascii="Garamond" w:hAnsi="Garamond"/>
          <w:b w:val="false"/>
          <w:bCs w:val="false"/>
        </w:rPr>
        <w:t xml:space="preserve">laje </w:t>
      </w:r>
      <w:r>
        <w:rPr>
          <w:rFonts w:cs="Garamond" w:ascii="Garamond" w:hAnsi="Garamond"/>
          <w:b w:val="false"/>
          <w:bCs w:val="false"/>
        </w:rPr>
        <w:t xml:space="preserve">como cobertura. Ressaltou-se que o subsolo da edificação apresenta como cobertura laje apoiadas em vigas de concreto; alvenaria com infiltrações e parte danificada. A porta, o portão, a janela e o basculante apresentam péssimo estado de conservação, bem como a pintura e reboco que encontram-se danificados pela ação do tempo. Concluiu-se que a reforma do imóvel ficaria inviável. Consta </w:t>
      </w:r>
      <w:r>
        <w:rPr>
          <w:rFonts w:cs="Garamond" w:ascii="Garamond" w:hAnsi="Garamond"/>
          <w:b w:val="false"/>
          <w:bCs w:val="false"/>
        </w:rPr>
        <w:t xml:space="preserve">deste laudo </w:t>
      </w:r>
      <w:r>
        <w:rPr>
          <w:rFonts w:cs="Garamond" w:ascii="Garamond" w:hAnsi="Garamond"/>
          <w:b w:val="false"/>
          <w:bCs w:val="false"/>
        </w:rPr>
        <w:t xml:space="preserve">relatório fotográfico. </w:t>
      </w:r>
    </w:p>
    <w:p>
      <w:pPr>
        <w:pStyle w:val="Normal"/>
        <w:bidi w:val="0"/>
        <w:spacing w:lineRule="auto" w:line="276"/>
        <w:ind w:right="0" w:hanging="0"/>
        <w:jc w:val="both"/>
        <w:rPr>
          <w:rFonts w:ascii="Garamond" w:hAnsi="Garamond" w:cs="Garamond"/>
          <w:b w:val="false"/>
          <w:b w:val="false"/>
          <w:bCs w:val="false"/>
        </w:rPr>
      </w:pPr>
      <w:r>
        <w:rPr>
          <w:rFonts w:cs="Garamond" w:ascii="Garamond" w:hAnsi="Garamond"/>
          <w:b w:val="false"/>
          <w:bCs w:val="false"/>
        </w:rPr>
      </w:r>
    </w:p>
    <w:p>
      <w:pPr>
        <w:pStyle w:val="Normal"/>
        <w:bidi w:val="0"/>
        <w:spacing w:lineRule="auto" w:line="276"/>
        <w:ind w:right="0" w:hanging="0"/>
        <w:jc w:val="both"/>
        <w:rPr/>
      </w:pPr>
      <w:r>
        <w:rPr>
          <w:rFonts w:cs="Garamond" w:ascii="Garamond" w:hAnsi="Garamond"/>
          <w:b w:val="false"/>
          <w:bCs w:val="false"/>
        </w:rPr>
        <w:tab/>
        <w:t xml:space="preserve">2. Relatório do Conselho Municipal do Patrimônio Cultural – COMPAC. Neste documento, afirmou-se que, após a análise do laudo técnico e relatório fotográfico, “o Conselho deliberou que a forma de preservação da memória mais coerente ao bem seria a construção de um memorial e não o tombamento devido a inviabilidade do restauro”. Foram apontados vários motivos que inviabilizariam o restauro: </w:t>
      </w:r>
    </w:p>
    <w:p>
      <w:pPr>
        <w:pStyle w:val="Normal"/>
        <w:bidi w:val="0"/>
        <w:spacing w:lineRule="auto" w:line="276"/>
        <w:ind w:right="0" w:hanging="0"/>
        <w:jc w:val="both"/>
        <w:rPr/>
      </w:pPr>
      <w:r>
        <w:rPr>
          <w:rFonts w:cs="Garamond" w:ascii="Garamond" w:hAnsi="Garamond"/>
          <w:b w:val="false"/>
          <w:bCs w:val="false"/>
        </w:rPr>
        <w:tab/>
        <w:t>- O imóvel encontra-se em péssimas condições;</w:t>
      </w:r>
    </w:p>
    <w:p>
      <w:pPr>
        <w:pStyle w:val="Normal"/>
        <w:bidi w:val="0"/>
        <w:spacing w:lineRule="auto" w:line="276"/>
        <w:ind w:right="0" w:hanging="0"/>
        <w:jc w:val="both"/>
        <w:rPr/>
      </w:pPr>
      <w:r>
        <w:rPr>
          <w:rFonts w:cs="Garamond" w:ascii="Garamond" w:hAnsi="Garamond"/>
          <w:b w:val="false"/>
          <w:bCs w:val="false"/>
        </w:rPr>
        <w:tab/>
        <w:t>- A cobertura, lambrequins e torre já não existem mais;</w:t>
      </w:r>
    </w:p>
    <w:p>
      <w:pPr>
        <w:pStyle w:val="Normal"/>
        <w:bidi w:val="0"/>
        <w:spacing w:lineRule="auto" w:line="276"/>
        <w:ind w:right="0" w:hanging="0"/>
        <w:jc w:val="both"/>
        <w:rPr/>
      </w:pPr>
      <w:r>
        <w:rPr>
          <w:rFonts w:cs="Garamond" w:ascii="Garamond" w:hAnsi="Garamond"/>
          <w:b w:val="false"/>
          <w:bCs w:val="false"/>
        </w:rPr>
        <w:tab/>
        <w:t xml:space="preserve">- As janelas e porta da fachada com frente para rua José Francisco não são originais; </w:t>
      </w:r>
    </w:p>
    <w:p>
      <w:pPr>
        <w:pStyle w:val="Normal"/>
        <w:bidi w:val="0"/>
        <w:spacing w:lineRule="auto" w:line="276"/>
        <w:ind w:right="0" w:hanging="0"/>
        <w:jc w:val="left"/>
        <w:rPr/>
      </w:pPr>
      <w:r>
        <w:rPr>
          <w:rFonts w:cs="Garamond" w:ascii="Garamond" w:hAnsi="Garamond"/>
          <w:b w:val="false"/>
          <w:bCs w:val="false"/>
        </w:rPr>
        <w:tab/>
        <w:t>- A fachada do subsolo da lateral esquerda foi totalmente descaracterizada;</w:t>
      </w:r>
    </w:p>
    <w:p>
      <w:pPr>
        <w:pStyle w:val="Normal"/>
        <w:bidi w:val="0"/>
        <w:spacing w:lineRule="auto" w:line="276"/>
        <w:ind w:right="0" w:hanging="0"/>
        <w:jc w:val="left"/>
        <w:rPr/>
      </w:pPr>
      <w:r>
        <w:rPr>
          <w:rFonts w:cs="Garamond" w:ascii="Garamond" w:hAnsi="Garamond"/>
          <w:b w:val="false"/>
          <w:bCs w:val="false"/>
        </w:rPr>
        <w:tab/>
        <w:t>- O processo de reconstrução do imóvel não atende às diretrizes da Carta de Burra e poderia se configura</w:t>
      </w:r>
      <w:r>
        <w:rPr>
          <w:rFonts w:cs="Garamond" w:ascii="Garamond" w:hAnsi="Garamond"/>
          <w:b w:val="false"/>
          <w:bCs w:val="false"/>
        </w:rPr>
        <w:t>r</w:t>
      </w:r>
      <w:r>
        <w:rPr>
          <w:rFonts w:cs="Garamond" w:ascii="Garamond" w:hAnsi="Garamond"/>
          <w:b w:val="false"/>
          <w:bCs w:val="false"/>
        </w:rPr>
        <w:t xml:space="preserve"> em “falso histórico”, como aponta a Carta de Veneza. </w:t>
      </w:r>
    </w:p>
    <w:p>
      <w:pPr>
        <w:pStyle w:val="Standard"/>
        <w:spacing w:lineRule="auto" w:line="276"/>
        <w:jc w:val="both"/>
        <w:rPr>
          <w:rFonts w:ascii="Garamond" w:hAnsi="Garamond" w:cs="Garamond"/>
          <w:b w:val="false"/>
          <w:b w:val="false"/>
          <w:bCs w:val="false"/>
        </w:rPr>
      </w:pPr>
      <w:r>
        <w:rPr>
          <w:rFonts w:cs="Garamond" w:ascii="Garamond" w:hAnsi="Garamond"/>
          <w:b w:val="false"/>
          <w:bCs w:val="false"/>
        </w:rPr>
      </w:r>
    </w:p>
    <w:p>
      <w:pPr>
        <w:pStyle w:val="Standard"/>
        <w:spacing w:lineRule="auto" w:line="276"/>
        <w:jc w:val="left"/>
        <w:rPr>
          <w:rFonts w:ascii="Garamond" w:hAnsi="Garamond" w:cs="Garamond"/>
          <w:b w:val="false"/>
          <w:b w:val="false"/>
          <w:bCs w:val="false"/>
        </w:rPr>
      </w:pPr>
      <w:r>
        <w:rPr>
          <w:rFonts w:cs="Garamond" w:ascii="Garamond" w:hAnsi="Garamond"/>
          <w:b w:val="false"/>
          <w:bCs w:val="false"/>
        </w:rPr>
        <w:tab/>
        <w:t>O objetivo da presente nota técnica é analisar esta nova documentação juntada aos autos pela Prefeitura Municipal de Formiga.</w:t>
      </w:r>
    </w:p>
    <w:p>
      <w:pPr>
        <w:pStyle w:val="Normal"/>
        <w:spacing w:lineRule="auto" w:line="276"/>
        <w:ind w:firstLine="708"/>
        <w:jc w:val="both"/>
        <w:rPr>
          <w:rStyle w:val="H1"/>
          <w:rFonts w:ascii="Garamond" w:hAnsi="Garamond" w:cs="Garamond"/>
          <w:b w:val="false"/>
          <w:b w:val="false"/>
          <w:bCs w:val="false"/>
          <w:szCs w:val="20"/>
        </w:rPr>
      </w:pPr>
      <w:r>
        <w:rPr>
          <w:rFonts w:cs="Garamond" w:ascii="Garamond" w:hAnsi="Garamond"/>
          <w:b w:val="false"/>
          <w:bCs w:val="false"/>
          <w:szCs w:val="20"/>
        </w:rPr>
      </w:r>
    </w:p>
    <w:p>
      <w:pPr>
        <w:pStyle w:val="ListParagraph"/>
        <w:rPr/>
      </w:pPr>
      <w:r>
        <w:rPr/>
      </w:r>
    </w:p>
    <w:p>
      <w:pPr>
        <w:pStyle w:val="Standard"/>
        <w:bidi w:val="0"/>
        <w:spacing w:lineRule="auto" w:line="276"/>
        <w:ind w:left="0" w:right="0" w:hanging="0"/>
        <w:jc w:val="both"/>
        <w:rPr/>
      </w:pPr>
      <w:r>
        <w:rPr>
          <w:rFonts w:cs="Garamond" w:ascii="Garamond" w:hAnsi="Garamond"/>
          <w:bCs/>
        </w:rPr>
        <w:tab/>
      </w:r>
    </w:p>
    <w:p>
      <w:pPr>
        <w:pStyle w:val="Standard"/>
        <w:bidi w:val="0"/>
        <w:spacing w:lineRule="auto" w:line="276"/>
        <w:ind w:left="0" w:right="0" w:hanging="0"/>
        <w:jc w:val="both"/>
        <w:rPr>
          <w:rFonts w:ascii="Garamond" w:hAnsi="Garamond" w:cs="Garamond"/>
          <w:bCs/>
        </w:rPr>
      </w:pPr>
      <w:r>
        <w:rPr>
          <w:rFonts w:cs="Garamond" w:ascii="Garamond" w:hAnsi="Garamond"/>
          <w:bCs/>
        </w:rPr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>
          <w:rFonts w:cs="Garamond" w:ascii="Garamond" w:hAnsi="Garamond"/>
          <w:b/>
          <w:bCs/>
        </w:rPr>
        <w:t>Análise técnica:</w:t>
      </w:r>
    </w:p>
    <w:p>
      <w:pPr>
        <w:pStyle w:val="Standard"/>
        <w:spacing w:lineRule="auto" w:line="276"/>
        <w:jc w:val="both"/>
        <w:rPr>
          <w:rFonts w:ascii="Garamond" w:hAnsi="Garamond" w:cs="Garamond"/>
          <w:b/>
          <w:b/>
          <w:bCs/>
        </w:rPr>
      </w:pPr>
      <w:r>
        <w:rPr>
          <w:rFonts w:cs="Garamond" w:ascii="Garamond" w:hAnsi="Garamond"/>
          <w:b/>
          <w:bCs/>
        </w:rPr>
      </w:r>
    </w:p>
    <w:p>
      <w:pPr>
        <w:pStyle w:val="Standard"/>
        <w:spacing w:lineRule="auto" w:line="276"/>
        <w:jc w:val="both"/>
        <w:rPr/>
      </w:pPr>
      <w:r>
        <w:rPr>
          <w:rFonts w:cs="Garamond" w:ascii="Garamond" w:hAnsi="Garamond"/>
          <w:b/>
          <w:bCs/>
        </w:rPr>
        <w:tab/>
      </w:r>
      <w:r>
        <w:rPr>
          <w:rFonts w:cs="Garamond" w:ascii="Garamond" w:hAnsi="Garamond"/>
          <w:b w:val="false"/>
          <w:bCs w:val="false"/>
        </w:rPr>
        <w:t xml:space="preserve">É inegável o </w:t>
      </w:r>
      <w:r>
        <w:rPr>
          <w:rFonts w:cs="Garamond" w:ascii="Garamond" w:hAnsi="Garamond"/>
          <w:b w:val="false"/>
          <w:bCs w:val="false"/>
        </w:rPr>
        <w:t xml:space="preserve">abandono e o </w:t>
      </w:r>
      <w:r>
        <w:rPr>
          <w:rFonts w:cs="Garamond" w:ascii="Garamond" w:hAnsi="Garamond"/>
          <w:b w:val="false"/>
          <w:bCs w:val="false"/>
        </w:rPr>
        <w:t xml:space="preserve">mau estado de conservação do imóvel do antigo Reservatório D’ Água da Lajinha. As fotos apresentadas no </w:t>
      </w:r>
      <w:bookmarkStart w:id="1" w:name="__DdeLink__174_187750629"/>
      <w:r>
        <w:rPr>
          <w:rFonts w:cs="Garamond" w:ascii="Garamond" w:hAnsi="Garamond"/>
          <w:b w:val="false"/>
          <w:bCs w:val="false"/>
        </w:rPr>
        <w:t>Laudo Técnico elaborado por engenheiro civil da Secretaria Municipal de Obras e Trânsito</w:t>
      </w:r>
      <w:bookmarkEnd w:id="1"/>
      <w:r>
        <w:rPr>
          <w:rFonts w:cs="Garamond" w:ascii="Garamond" w:hAnsi="Garamond"/>
          <w:b w:val="false"/>
          <w:bCs w:val="false"/>
        </w:rPr>
        <w:t xml:space="preserve"> evidenciam </w:t>
      </w:r>
      <w:r>
        <w:rPr>
          <w:rFonts w:cs="Garamond" w:ascii="Garamond" w:hAnsi="Garamond"/>
          <w:b w:val="false"/>
          <w:bCs w:val="false"/>
        </w:rPr>
        <w:t xml:space="preserve">a ausência da cobertura, que deixa a edificação completamente exposta às intempéries; </w:t>
      </w:r>
      <w:r>
        <w:rPr>
          <w:rFonts w:cs="Garamond" w:ascii="Garamond" w:hAnsi="Garamond"/>
          <w:b w:val="false"/>
          <w:bCs w:val="false"/>
        </w:rPr>
        <w:t xml:space="preserve">extensas manchas de infiltrações e sujidades nas alvenarias e </w:t>
      </w:r>
      <w:r>
        <w:rPr>
          <w:rFonts w:cs="Garamond" w:ascii="Garamond" w:hAnsi="Garamond"/>
          <w:b w:val="false"/>
          <w:bCs w:val="false"/>
        </w:rPr>
        <w:t>esquadrias muito danificadas, com elementos faltantes</w:t>
      </w:r>
      <w:r>
        <w:rPr>
          <w:rFonts w:cs="Garamond" w:ascii="Garamond" w:hAnsi="Garamond"/>
          <w:b w:val="false"/>
          <w:bCs w:val="false"/>
        </w:rPr>
        <w:t xml:space="preserve">. </w:t>
      </w:r>
    </w:p>
    <w:p>
      <w:pPr>
        <w:pStyle w:val="Standard"/>
        <w:spacing w:lineRule="auto" w:line="276"/>
        <w:jc w:val="both"/>
        <w:rPr/>
      </w:pPr>
      <w:r>
        <w:rPr>
          <w:rFonts w:cs="Garamond" w:ascii="Garamond" w:hAnsi="Garamond"/>
          <w:b/>
          <w:bCs/>
        </w:rPr>
        <w:t xml:space="preserve"> </w:t>
      </w:r>
    </w:p>
    <w:tbl>
      <w:tblPr>
        <w:tblW w:w="8504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4252"/>
        <w:gridCol w:w="4251"/>
      </w:tblGrid>
      <w:tr>
        <w:trPr/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12065</wp:posOffset>
                  </wp:positionV>
                  <wp:extent cx="2632710" cy="1861820"/>
                  <wp:effectExtent l="0" t="0" r="0" b="0"/>
                  <wp:wrapSquare wrapText="largest"/>
                  <wp:docPr id="1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710" cy="186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dodatabela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632710" cy="1870075"/>
                  <wp:effectExtent l="0" t="0" r="0" b="0"/>
                  <wp:wrapSquare wrapText="largest"/>
                  <wp:docPr id="2" name="Figura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710" cy="187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50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Figuras 1 e 2- Imagens do imóvel do  </w:t>
            </w:r>
            <w:r>
              <w:rPr>
                <w:rFonts w:cs="Garamond" w:ascii="Garamond" w:hAnsi="Garamond"/>
                <w:b w:val="false"/>
                <w:bCs w:val="false"/>
                <w:sz w:val="22"/>
                <w:szCs w:val="22"/>
              </w:rPr>
              <w:t>Reservatório D’ Água da Lajinha em Formiga. Fonte:  Laudo Técnico por engenheiro civil da Secretaria Municipal de Obras e Trânsito em 18/07/2018.</w:t>
            </w:r>
          </w:p>
        </w:tc>
      </w:tr>
    </w:tbl>
    <w:p>
      <w:pPr>
        <w:pStyle w:val="Standard"/>
        <w:bidi w:val="0"/>
        <w:spacing w:lineRule="auto" w:line="276"/>
        <w:ind w:left="0" w:right="0" w:hanging="0"/>
        <w:jc w:val="both"/>
        <w:rPr/>
      </w:pPr>
      <w:r>
        <w:rPr>
          <w:rFonts w:cs="Garamond" w:ascii="Garamond" w:hAnsi="Garamond"/>
          <w:bCs/>
        </w:rPr>
        <w:tab/>
      </w:r>
    </w:p>
    <w:p>
      <w:pPr>
        <w:pStyle w:val="Standard"/>
        <w:bidi w:val="0"/>
        <w:spacing w:lineRule="auto" w:line="276"/>
        <w:ind w:left="0" w:right="0" w:hanging="0"/>
        <w:jc w:val="both"/>
        <w:rPr>
          <w:rFonts w:ascii="Garamond" w:hAnsi="Garamond" w:cs="Garamond"/>
          <w:bCs/>
        </w:rPr>
      </w:pPr>
      <w:r>
        <w:rPr>
          <w:rFonts w:cs="Garamond" w:ascii="Garamond" w:hAnsi="Garamond"/>
          <w:bCs/>
        </w:rPr>
        <w:tab/>
        <w:t xml:space="preserve">Contudo, é importante ressaltar que o referido Laudo Técnico, embora mencione a presença de trincas nas paredes, não apresenta uma avaliação dos elementos estruturais que sustentam a edificação. </w:t>
      </w:r>
    </w:p>
    <w:p>
      <w:pPr>
        <w:pStyle w:val="Standard"/>
        <w:bidi w:val="0"/>
        <w:spacing w:lineRule="auto" w:line="276"/>
        <w:ind w:left="0" w:right="0" w:hanging="0"/>
        <w:jc w:val="both"/>
        <w:rPr>
          <w:rFonts w:ascii="Garamond" w:hAnsi="Garamond" w:cs="Garamond"/>
          <w:bCs/>
        </w:rPr>
      </w:pPr>
      <w:r>
        <w:rPr>
          <w:rFonts w:cs="Garamond" w:ascii="Garamond" w:hAnsi="Garamond"/>
          <w:bCs/>
        </w:rPr>
      </w:r>
    </w:p>
    <w:p>
      <w:pPr>
        <w:pStyle w:val="Standard"/>
        <w:bidi w:val="0"/>
        <w:spacing w:lineRule="auto" w:line="276"/>
        <w:ind w:left="0" w:right="0" w:hanging="0"/>
        <w:jc w:val="both"/>
        <w:rPr/>
      </w:pPr>
      <w:r>
        <w:rPr>
          <w:rFonts w:cs="Garamond" w:ascii="Garamond" w:hAnsi="Garamond"/>
          <w:bCs/>
        </w:rPr>
        <w:tab/>
        <w:t xml:space="preserve">Com relação ao </w:t>
      </w:r>
      <w:r>
        <w:rPr>
          <w:rFonts w:cs="Garamond" w:ascii="Garamond" w:hAnsi="Garamond"/>
          <w:b w:val="false"/>
          <w:bCs w:val="false"/>
        </w:rPr>
        <w:t xml:space="preserve">Relatório do Conselho Municipal do Patrimônio Cultural, este setor técnico considera muito pertinente a proposta de criação de um memorial </w:t>
      </w:r>
      <w:r>
        <w:rPr>
          <w:rFonts w:cs="Garamond" w:ascii="Garamond" w:hAnsi="Garamond"/>
          <w:b w:val="false"/>
          <w:bCs w:val="false"/>
        </w:rPr>
        <w:t>sobre o  Reservatório D’ Água da Lajinha, que, está intrinsecamente associado à história do abastecimento de água em Formiga.</w:t>
      </w:r>
      <w:r>
        <w:rPr>
          <w:rFonts w:cs="Garamond" w:ascii="Garamond" w:hAnsi="Garamond"/>
          <w:b w:val="false"/>
          <w:bCs w:val="false"/>
        </w:rPr>
        <w:t xml:space="preserve"> </w:t>
      </w:r>
    </w:p>
    <w:p>
      <w:pPr>
        <w:pStyle w:val="Standard"/>
        <w:bidi w:val="0"/>
        <w:spacing w:lineRule="auto" w:line="276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andard"/>
        <w:bidi w:val="0"/>
        <w:spacing w:lineRule="auto" w:line="276"/>
        <w:ind w:left="0" w:right="0" w:hanging="0"/>
        <w:jc w:val="both"/>
        <w:rPr/>
      </w:pPr>
      <w:r>
        <w:rPr>
          <w:rFonts w:cs="Garamond" w:ascii="Garamond" w:hAnsi="Garamond"/>
          <w:b w:val="false"/>
          <w:bCs w:val="false"/>
        </w:rPr>
        <w:tab/>
        <w:t xml:space="preserve">Entretanto, ressalta-se que a perda de elementos e/ou materiais originais não inviabiliza a restauração de um imóvel. As </w:t>
      </w:r>
      <w:r>
        <w:rPr>
          <w:rFonts w:cs="Garamond" w:ascii="Garamond" w:hAnsi="Garamond"/>
          <w:b w:val="false"/>
          <w:bCs/>
        </w:rPr>
        <w:t xml:space="preserve">recomendações das Cartas Patrimoniais não vedam a introdução de elementos novos, quando não for possível a </w:t>
      </w:r>
      <w:r>
        <w:rPr>
          <w:rFonts w:cs="Garamond" w:ascii="Garamond" w:hAnsi="Garamond"/>
          <w:b w:val="false"/>
          <w:bCs w:val="false"/>
        </w:rPr>
        <w:t xml:space="preserve">recuperação do elemento autêntico. Obviamente a </w:t>
      </w:r>
      <w:r>
        <w:rPr>
          <w:rFonts w:cs="Garamond" w:ascii="Garamond" w:hAnsi="Garamond"/>
          <w:b w:val="false"/>
          <w:bCs w:val="false"/>
          <w:szCs w:val="18"/>
        </w:rPr>
        <w:t xml:space="preserve">tipologia, o caráter estilístico e a plasticidade da construção devem ser mantidos. </w:t>
      </w:r>
    </w:p>
    <w:p>
      <w:pPr>
        <w:pStyle w:val="Standard"/>
        <w:bidi w:val="0"/>
        <w:spacing w:lineRule="auto" w:line="276"/>
        <w:ind w:left="0" w:right="0" w:hanging="0"/>
        <w:jc w:val="both"/>
        <w:rPr>
          <w:b w:val="false"/>
          <w:b w:val="false"/>
          <w:bCs w:val="false"/>
          <w:szCs w:val="18"/>
        </w:rPr>
      </w:pPr>
      <w:r>
        <w:rPr>
          <w:b w:val="false"/>
          <w:bCs w:val="false"/>
          <w:szCs w:val="18"/>
        </w:rPr>
      </w:r>
    </w:p>
    <w:p>
      <w:pPr>
        <w:pStyle w:val="Standard"/>
        <w:bidi w:val="0"/>
        <w:spacing w:lineRule="auto" w:line="276"/>
        <w:ind w:left="0" w:right="0" w:hanging="0"/>
        <w:jc w:val="both"/>
        <w:rPr>
          <w:rFonts w:ascii="Garamond" w:hAnsi="Garamond" w:cs="Garamond"/>
          <w:bCs/>
        </w:rPr>
      </w:pPr>
      <w:r>
        <w:rPr>
          <w:rFonts w:cs="Garamond" w:ascii="Garamond" w:hAnsi="Garamond"/>
          <w:b w:val="false"/>
          <w:bCs w:val="false"/>
          <w:szCs w:val="18"/>
        </w:rPr>
        <w:tab/>
        <w:t xml:space="preserve">No que diz respeito ao “falso histórico”, a construção de réplicas de edificações, reproduzindo as características das fachadas antigas com técnica e materiais  contemporâneos, é condenável, pois podem criar um </w:t>
      </w:r>
      <w:r>
        <w:rPr>
          <w:rFonts w:cs="Garamond" w:ascii="Garamond" w:hAnsi="Garamond"/>
          <w:b w:val="false"/>
          <w:bCs w:val="false"/>
          <w:szCs w:val="18"/>
          <w:u w:val="none"/>
        </w:rPr>
        <w:t>“cenário urbano”,</w:t>
      </w:r>
      <w:r>
        <w:rPr>
          <w:rFonts w:cs="Garamond" w:ascii="Garamond" w:hAnsi="Garamond"/>
          <w:b w:val="false"/>
          <w:bCs w:val="false"/>
          <w:szCs w:val="18"/>
        </w:rPr>
        <w:t xml:space="preserve"> desprovido de história, de autenticidade. Por isso, as intervenções devem permanecer identificáveis nas edificações, de modo a marcar com clareza as características do tempo atual, possibilitando a distinção e</w:t>
      </w:r>
      <w:r>
        <w:rPr>
          <w:rFonts w:cs="Garamond" w:ascii="Garamond" w:hAnsi="Garamond"/>
          <w:b w:val="false"/>
          <w:bCs w:val="false"/>
        </w:rPr>
        <w:t>ntre os elementos antigos e os contemporâneos.</w:t>
      </w:r>
    </w:p>
    <w:p>
      <w:pPr>
        <w:pStyle w:val="Normal"/>
        <w:spacing w:lineRule="auto" w:line="276"/>
        <w:ind w:left="360" w:hanging="0"/>
        <w:jc w:val="left"/>
        <w:rPr>
          <w:rFonts w:ascii="Garamond" w:hAnsi="Garamond" w:cs="Garamond"/>
          <w:b/>
          <w:b/>
          <w:bCs/>
        </w:rPr>
      </w:pPr>
      <w:r>
        <w:rPr>
          <w:rFonts w:cs="Garamond" w:ascii="Garamond" w:hAnsi="Garamond"/>
          <w:b/>
          <w:bCs/>
        </w:rPr>
      </w:r>
    </w:p>
    <w:p>
      <w:pPr>
        <w:pStyle w:val="Standard"/>
        <w:bidi w:val="0"/>
        <w:spacing w:lineRule="auto" w:line="276"/>
        <w:ind w:left="0" w:right="0" w:hanging="0"/>
        <w:jc w:val="both"/>
        <w:rPr/>
      </w:pPr>
      <w:r>
        <w:rPr>
          <w:rFonts w:cs="Garamond" w:ascii="Garamond" w:hAnsi="Garamond"/>
          <w:b w:val="false"/>
          <w:bCs w:val="false"/>
        </w:rPr>
        <w:tab/>
        <w:t xml:space="preserve">Sendo assim, a recuperação do imóvel do antigo Reservatório D’ água não implica, necessariamente, na sua reconstrução, com a reprodução de sua antiga torre, lambrequins e outros elementos mostrados pela imagem histórica. </w:t>
      </w:r>
    </w:p>
    <w:p>
      <w:pPr>
        <w:pStyle w:val="Standard"/>
        <w:bidi w:val="0"/>
        <w:spacing w:lineRule="auto" w:line="276"/>
        <w:ind w:left="0" w:right="0" w:hanging="0"/>
        <w:jc w:val="both"/>
        <w:rPr>
          <w:rFonts w:ascii="Garamond" w:hAnsi="Garamond" w:cs="Garamond"/>
          <w:b w:val="false"/>
          <w:b w:val="false"/>
          <w:bCs w:val="false"/>
        </w:rPr>
      </w:pPr>
      <w:r>
        <w:rPr>
          <w:rFonts w:cs="Garamond" w:ascii="Garamond" w:hAnsi="Garamond"/>
          <w:b w:val="false"/>
          <w:bCs w:val="false"/>
        </w:rPr>
      </w:r>
    </w:p>
    <w:p>
      <w:pPr>
        <w:pStyle w:val="Standard"/>
        <w:bidi w:val="0"/>
        <w:spacing w:lineRule="auto" w:line="276"/>
        <w:ind w:left="0" w:right="0" w:hanging="0"/>
        <w:jc w:val="both"/>
        <w:rPr>
          <w:rFonts w:ascii="Garamond" w:hAnsi="Garamond" w:cs="Garamond"/>
          <w:b w:val="false"/>
          <w:b w:val="false"/>
          <w:bCs w:val="false"/>
        </w:rPr>
      </w:pPr>
      <w:r>
        <w:rPr>
          <w:rFonts w:cs="Garamond" w:ascii="Garamond" w:hAnsi="Garamond"/>
          <w:b w:val="false"/>
          <w:bCs w:val="false"/>
        </w:rPr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>
          <w:rFonts w:cs="Garamond" w:ascii="Garamond" w:hAnsi="Garamond"/>
          <w:b/>
          <w:bCs/>
        </w:rPr>
        <w:t>Conclusões:</w:t>
      </w:r>
    </w:p>
    <w:p>
      <w:pPr>
        <w:pStyle w:val="Standard"/>
        <w:spacing w:lineRule="auto" w:line="276"/>
        <w:jc w:val="both"/>
        <w:rPr>
          <w:rFonts w:ascii="Garamond" w:hAnsi="Garamond" w:cs="Garamond"/>
          <w:b/>
          <w:b/>
          <w:bCs/>
        </w:rPr>
      </w:pPr>
      <w:r>
        <w:rPr>
          <w:rFonts w:cs="Garamond" w:ascii="Garamond" w:hAnsi="Garamond"/>
          <w:b/>
          <w:bCs/>
        </w:rPr>
      </w:r>
    </w:p>
    <w:p>
      <w:pPr>
        <w:pStyle w:val="Standard"/>
        <w:spacing w:lineRule="auto" w:line="276"/>
        <w:jc w:val="both"/>
        <w:rPr/>
      </w:pPr>
      <w:r>
        <w:rPr>
          <w:rFonts w:cs="Garamond" w:ascii="Garamond" w:hAnsi="Garamond"/>
          <w:b/>
          <w:bCs/>
        </w:rPr>
        <w:tab/>
      </w:r>
      <w:r>
        <w:rPr>
          <w:rFonts w:cs="Garamond" w:ascii="Garamond" w:hAnsi="Garamond"/>
          <w:b w:val="false"/>
          <w:bCs w:val="false"/>
        </w:rPr>
        <w:t>Apesar da</w:t>
      </w:r>
      <w:r>
        <w:rPr>
          <w:rFonts w:cs="Garamond" w:ascii="Garamond" w:hAnsi="Garamond"/>
          <w:b/>
          <w:bCs/>
        </w:rPr>
        <w:t xml:space="preserve"> </w:t>
      </w:r>
      <w:r>
        <w:rPr>
          <w:rFonts w:cs="Garamond" w:ascii="Garamond" w:hAnsi="Garamond"/>
          <w:b w:val="false"/>
          <w:bCs w:val="false"/>
        </w:rPr>
        <w:t xml:space="preserve">relevância cultural e simbólica para a memória do município de Formiga, o imóvel do antigo Reservatório D’ água permanece abandonado, sem </w:t>
      </w:r>
      <w:r>
        <w:rPr>
          <w:rFonts w:eastAsia="MS Mincho;ＭＳ 明朝" w:cs="Garamond" w:ascii="Garamond" w:hAnsi="Garamond"/>
          <w:b w:val="false"/>
          <w:bCs/>
          <w:iCs/>
        </w:rPr>
        <w:t>nenhum tipo de manutenção e/ou conservação periódica, o que só acelera seu processo de degradação.</w:t>
      </w:r>
    </w:p>
    <w:p>
      <w:pPr>
        <w:pStyle w:val="Standard"/>
        <w:spacing w:lineRule="auto" w:line="276"/>
        <w:jc w:val="both"/>
        <w:rPr>
          <w:rFonts w:ascii="Garamond" w:hAnsi="Garamond" w:eastAsia="MS Mincho;ＭＳ 明朝" w:cs="Garamond"/>
          <w:b w:val="false"/>
          <w:b w:val="false"/>
          <w:bCs/>
          <w:iCs/>
        </w:rPr>
      </w:pPr>
      <w:r>
        <w:rPr>
          <w:rFonts w:eastAsia="MS Mincho;ＭＳ 明朝" w:cs="Garamond" w:ascii="Garamond" w:hAnsi="Garamond"/>
          <w:b w:val="false"/>
          <w:bCs/>
          <w:iCs/>
        </w:rPr>
      </w:r>
    </w:p>
    <w:p>
      <w:pPr>
        <w:pStyle w:val="Standard"/>
        <w:spacing w:lineRule="auto" w:line="276"/>
        <w:jc w:val="both"/>
        <w:rPr/>
      </w:pPr>
      <w:r>
        <w:rPr>
          <w:rFonts w:eastAsia="MS Mincho;ＭＳ 明朝" w:cs="Garamond" w:ascii="Garamond" w:hAnsi="Garamond"/>
          <w:b w:val="false"/>
          <w:bCs/>
          <w:iCs/>
        </w:rPr>
        <w:tab/>
        <w:t xml:space="preserve"> O </w:t>
      </w:r>
      <w:r>
        <w:rPr>
          <w:rFonts w:eastAsia="MS Mincho;ＭＳ 明朝" w:cs="Garamond" w:ascii="Garamond" w:hAnsi="Garamond"/>
          <w:b w:val="false"/>
          <w:bCs w:val="false"/>
          <w:iCs/>
        </w:rPr>
        <w:t>Laudo Técnico elaborado pelo engenheiro civil da Secretaria Municipal de Obras e Trânsito, em 18 de junho de 2018, apontou diversas patologias na edificação, porém não foi apresentad</w:t>
      </w:r>
      <w:r>
        <w:rPr>
          <w:rFonts w:eastAsia="MS Mincho;ＭＳ 明朝" w:cs="Garamond" w:ascii="Garamond" w:hAnsi="Garamond"/>
          <w:b w:val="false"/>
          <w:bCs w:val="false"/>
          <w:iCs/>
        </w:rPr>
        <w:t>o diagnóstico</w:t>
      </w:r>
      <w:r>
        <w:rPr>
          <w:rFonts w:eastAsia="MS Mincho;ＭＳ 明朝" w:cs="Garamond" w:ascii="Garamond" w:hAnsi="Garamond"/>
          <w:b w:val="false"/>
          <w:bCs w:val="false"/>
          <w:iCs/>
        </w:rPr>
        <w:t xml:space="preserve"> estrutural do bem.</w:t>
      </w:r>
    </w:p>
    <w:p>
      <w:pPr>
        <w:pStyle w:val="Standard"/>
        <w:spacing w:lineRule="auto" w:line="276"/>
        <w:jc w:val="both"/>
        <w:rPr>
          <w:rFonts w:ascii="Garamond" w:hAnsi="Garamond" w:eastAsia="MS Mincho;ＭＳ 明朝" w:cs="Garamond"/>
          <w:b w:val="false"/>
          <w:b w:val="false"/>
          <w:bCs w:val="false"/>
          <w:iCs/>
        </w:rPr>
      </w:pPr>
      <w:r>
        <w:rPr>
          <w:rFonts w:eastAsia="MS Mincho;ＭＳ 明朝" w:cs="Garamond" w:ascii="Garamond" w:hAnsi="Garamond"/>
          <w:b w:val="false"/>
          <w:bCs w:val="false"/>
          <w:iCs/>
        </w:rPr>
      </w:r>
    </w:p>
    <w:p>
      <w:pPr>
        <w:pStyle w:val="Standard"/>
        <w:spacing w:lineRule="auto" w:line="276"/>
        <w:jc w:val="both"/>
        <w:rPr/>
      </w:pPr>
      <w:r>
        <w:rPr>
          <w:rFonts w:eastAsia="MS Mincho;ＭＳ 明朝" w:cs="Garamond" w:ascii="Garamond" w:hAnsi="Garamond"/>
          <w:b w:val="false"/>
          <w:bCs w:val="false"/>
          <w:iCs/>
        </w:rPr>
        <w:tab/>
        <w:t xml:space="preserve">O mau estado de conservação do imóvel, a perda de elementos originais e a descaracterização das fachadas não inviabilizam sua restauração e não implicam, necessariamente, na conformação de um “falso histórico”.  </w:t>
      </w:r>
    </w:p>
    <w:p>
      <w:pPr>
        <w:pStyle w:val="Standard"/>
        <w:spacing w:lineRule="auto" w:line="276"/>
        <w:jc w:val="both"/>
        <w:rPr/>
      </w:pPr>
      <w:r>
        <w:rPr>
          <w:rFonts w:eastAsia="MS Mincho;ＭＳ 明朝" w:cs="Garamond" w:ascii="Garamond" w:hAnsi="Garamond"/>
          <w:b w:val="false"/>
          <w:bCs w:val="false"/>
          <w:iCs/>
        </w:rPr>
        <w:t xml:space="preserve"> </w:t>
      </w:r>
    </w:p>
    <w:p>
      <w:pPr>
        <w:pStyle w:val="Standard"/>
        <w:bidi w:val="0"/>
        <w:spacing w:lineRule="auto" w:line="276"/>
        <w:ind w:left="0" w:right="0" w:hanging="0"/>
        <w:jc w:val="both"/>
        <w:rPr/>
      </w:pPr>
      <w:r>
        <w:rPr>
          <w:rFonts w:cs="Garamond" w:ascii="Garamond" w:hAnsi="Garamond"/>
          <w:b w:val="false"/>
          <w:bCs w:val="false"/>
        </w:rPr>
        <w:tab/>
        <w:t xml:space="preserve">Portanto, propõe-se a realização </w:t>
      </w:r>
      <w:r>
        <w:rPr>
          <w:rFonts w:eastAsia="MS Mincho;ＭＳ 明朝" w:cs="Garamond" w:ascii="Garamond" w:hAnsi="Garamond"/>
          <w:b w:val="false"/>
          <w:bCs/>
          <w:iCs/>
        </w:rPr>
        <w:t xml:space="preserve">um diagnóstico detalhado na estrutura do imóvel </w:t>
      </w:r>
      <w:r>
        <w:rPr>
          <w:rFonts w:eastAsia="MS Mincho;ＭＳ 明朝" w:cs="Garamond" w:ascii="Garamond" w:hAnsi="Garamond"/>
          <w:b w:val="false"/>
          <w:bCs w:val="false"/>
          <w:iCs/>
        </w:rPr>
        <w:t xml:space="preserve">do antigo Reservatório D’ Água </w:t>
      </w:r>
      <w:r>
        <w:rPr>
          <w:rFonts w:eastAsia="MS Mincho;ＭＳ 明朝" w:cs="Garamond" w:ascii="Garamond" w:hAnsi="Garamond"/>
          <w:b w:val="false"/>
          <w:bCs/>
          <w:iCs/>
        </w:rPr>
        <w:t>por especialista da área de estruturas para verificar se as alvenarias existentes e</w:t>
      </w:r>
      <w:r>
        <w:rPr>
          <w:rFonts w:eastAsia="MS Mincho;ＭＳ 明朝" w:cs="Garamond" w:ascii="Garamond" w:hAnsi="Garamond"/>
          <w:b w:val="false"/>
          <w:bCs/>
          <w:iCs/>
        </w:rPr>
        <w:t>ncontram-se</w:t>
      </w:r>
      <w:r>
        <w:rPr>
          <w:rFonts w:eastAsia="MS Mincho;ＭＳ 明朝" w:cs="Garamond" w:ascii="Garamond" w:hAnsi="Garamond"/>
          <w:b w:val="false"/>
          <w:bCs/>
          <w:iCs/>
        </w:rPr>
        <w:t xml:space="preserve"> estáveis e </w:t>
      </w:r>
      <w:r>
        <w:rPr>
          <w:rFonts w:eastAsia="MS Mincho;ＭＳ 明朝" w:cs="Garamond" w:ascii="Garamond" w:hAnsi="Garamond"/>
          <w:b w:val="false"/>
          <w:bCs/>
          <w:iCs/>
        </w:rPr>
        <w:t>se</w:t>
      </w:r>
      <w:r>
        <w:rPr>
          <w:rFonts w:eastAsia="MS Mincho;ＭＳ 明朝" w:cs="Garamond" w:ascii="Garamond" w:hAnsi="Garamond"/>
          <w:b w:val="false"/>
          <w:bCs/>
          <w:iCs/>
        </w:rPr>
        <w:t xml:space="preserve"> suporta</w:t>
      </w:r>
      <w:r>
        <w:rPr>
          <w:rFonts w:eastAsia="MS Mincho;ＭＳ 明朝" w:cs="Garamond" w:ascii="Garamond" w:hAnsi="Garamond"/>
          <w:b w:val="false"/>
          <w:bCs/>
          <w:iCs/>
        </w:rPr>
        <w:t>m</w:t>
      </w:r>
      <w:r>
        <w:rPr>
          <w:rFonts w:eastAsia="MS Mincho;ＭＳ 明朝" w:cs="Garamond" w:ascii="Garamond" w:hAnsi="Garamond"/>
          <w:b w:val="false"/>
          <w:bCs/>
          <w:iCs/>
        </w:rPr>
        <w:t xml:space="preserve"> o peso de uma nova cobertura. </w:t>
      </w:r>
    </w:p>
    <w:p>
      <w:pPr>
        <w:pStyle w:val="Standard"/>
        <w:bidi w:val="0"/>
        <w:spacing w:lineRule="auto" w:line="276"/>
        <w:ind w:left="0" w:right="0" w:hanging="0"/>
        <w:jc w:val="both"/>
        <w:rPr>
          <w:rFonts w:ascii="Garamond" w:hAnsi="Garamond" w:eastAsia="MS Mincho;ＭＳ 明朝" w:cs="Garamond"/>
          <w:b w:val="false"/>
          <w:b w:val="false"/>
          <w:bCs/>
          <w:iCs/>
        </w:rPr>
      </w:pPr>
      <w:r>
        <w:rPr/>
      </w:r>
    </w:p>
    <w:p>
      <w:pPr>
        <w:pStyle w:val="Standard"/>
        <w:bidi w:val="0"/>
        <w:spacing w:lineRule="auto" w:line="276"/>
        <w:ind w:left="0" w:right="0" w:hanging="0"/>
        <w:jc w:val="both"/>
        <w:rPr/>
      </w:pPr>
      <w:r>
        <w:rPr>
          <w:rFonts w:eastAsia="MS Mincho;ＭＳ 明朝" w:cs="Garamond" w:ascii="Garamond" w:hAnsi="Garamond"/>
          <w:b w:val="false"/>
          <w:bCs/>
          <w:iCs/>
        </w:rPr>
        <w:tab/>
      </w:r>
      <w:r>
        <w:rPr>
          <w:rFonts w:eastAsia="MS Mincho;ＭＳ 明朝" w:cs="Garamond" w:ascii="Garamond" w:hAnsi="Garamond"/>
          <w:b w:val="false"/>
          <w:bCs/>
          <w:iCs/>
        </w:rPr>
        <w:t xml:space="preserve">Este setor técnico pondera que, não havendo comprometimento estrutural do imóvel, nada mais </w:t>
      </w:r>
      <w:r>
        <w:rPr>
          <w:rFonts w:cs="Garamond" w:ascii="Garamond" w:hAnsi="Garamond"/>
          <w:b w:val="false"/>
          <w:bCs w:val="false"/>
        </w:rPr>
        <w:t xml:space="preserve">representativo que </w:t>
      </w:r>
      <w:r>
        <w:rPr>
          <w:rFonts w:cs="Garamond" w:ascii="Garamond" w:hAnsi="Garamond"/>
          <w:b w:val="false"/>
          <w:bCs w:val="false"/>
        </w:rPr>
        <w:t>implantação do memorial proposto pelo Conselho Municipal do Patrimônio Cultural possa ocorrer na edificação onde funcionou o primeiro reservatório d´ água da cidade.</w:t>
      </w:r>
    </w:p>
    <w:p>
      <w:pPr>
        <w:pStyle w:val="Normal"/>
        <w:spacing w:lineRule="auto" w:line="276"/>
        <w:ind w:left="0" w:right="0" w:firstLine="708"/>
        <w:jc w:val="both"/>
        <w:rPr/>
      </w:pPr>
      <w:r>
        <w:rPr>
          <w:rFonts w:eastAsia="MS Mincho;ＭＳ 明朝" w:cs="Garamond" w:ascii="Garamond" w:hAnsi="Garamond"/>
          <w:bCs/>
          <w:iCs/>
        </w:rPr>
        <w:t xml:space="preserve"> </w:t>
      </w:r>
    </w:p>
    <w:p>
      <w:pPr>
        <w:pStyle w:val="Normal"/>
        <w:spacing w:lineRule="auto" w:line="276"/>
        <w:ind w:left="0" w:right="0" w:firstLine="360"/>
        <w:jc w:val="both"/>
        <w:rPr>
          <w:rFonts w:ascii="Garamond" w:hAnsi="Garamond" w:eastAsia="MS Mincho;ＭＳ 明朝" w:cs="Garamond"/>
          <w:bCs/>
          <w:iCs/>
        </w:rPr>
      </w:pPr>
      <w:r>
        <w:rPr>
          <w:rFonts w:eastAsia="MS Mincho;ＭＳ 明朝" w:cs="Garamond" w:ascii="Garamond" w:hAnsi="Garamond"/>
          <w:bCs/>
          <w:iCs/>
        </w:rPr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b/>
          <w:b/>
          <w:bCs/>
        </w:rPr>
      </w:pPr>
      <w:r>
        <w:rPr>
          <w:rFonts w:cs="Garamond" w:ascii="Garamond" w:hAnsi="Garamond"/>
          <w:b/>
          <w:bCs/>
        </w:rPr>
        <w:t>Encerramento:</w:t>
      </w:r>
    </w:p>
    <w:p>
      <w:pPr>
        <w:pStyle w:val="Standard"/>
        <w:spacing w:lineRule="auto" w:line="276"/>
        <w:ind w:right="68" w:firstLine="708"/>
        <w:jc w:val="both"/>
        <w:rPr>
          <w:rFonts w:ascii="Garamond" w:hAnsi="Garamond" w:cs="Garamond"/>
          <w:b/>
          <w:b/>
          <w:bCs/>
          <w:lang w:eastAsia="pt-BR"/>
        </w:rPr>
      </w:pPr>
      <w:r>
        <w:rPr>
          <w:rFonts w:cs="Garamond" w:ascii="Garamond" w:hAnsi="Garamond"/>
          <w:b/>
          <w:bCs/>
          <w:lang w:eastAsia="pt-BR"/>
        </w:rPr>
      </w:r>
    </w:p>
    <w:p>
      <w:pPr>
        <w:pStyle w:val="Standard"/>
        <w:spacing w:lineRule="auto" w:line="276"/>
        <w:ind w:firstLine="709"/>
        <w:jc w:val="both"/>
        <w:rPr/>
      </w:pPr>
      <w:r>
        <w:rPr>
          <w:rFonts w:cs="Garamond" w:ascii="Garamond" w:hAnsi="Garamond"/>
        </w:rPr>
        <w:t>São essas as considerações do Setor Técnico desta Promotoria, que se coloca à disposição para o que mais se fizer necessário.</w:t>
      </w:r>
    </w:p>
    <w:p>
      <w:pPr>
        <w:pStyle w:val="Standard"/>
        <w:spacing w:lineRule="auto" w:line="276"/>
        <w:ind w:firstLine="2160"/>
        <w:jc w:val="center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Standard"/>
        <w:spacing w:lineRule="auto" w:line="276"/>
        <w:ind w:firstLine="2160"/>
        <w:jc w:val="right"/>
        <w:rPr/>
      </w:pPr>
      <w:r>
        <w:rPr>
          <w:rFonts w:cs="Garamond" w:ascii="Garamond" w:hAnsi="Garamond"/>
        </w:rPr>
        <w:t>Belo Horizonte, 1</w:t>
      </w:r>
      <w:r>
        <w:rPr>
          <w:rFonts w:cs="Garamond" w:ascii="Garamond" w:hAnsi="Garamond"/>
        </w:rPr>
        <w:t>6</w:t>
      </w:r>
      <w:r>
        <w:rPr>
          <w:rFonts w:cs="Garamond" w:ascii="Garamond" w:hAnsi="Garamond"/>
        </w:rPr>
        <w:t xml:space="preserve"> de janeiro de 2020.</w:t>
      </w:r>
    </w:p>
    <w:tbl>
      <w:tblPr>
        <w:tblW w:w="9502" w:type="dxa"/>
        <w:jc w:val="left"/>
        <w:tblInd w:w="-72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9502"/>
      </w:tblGrid>
      <w:tr>
        <w:trPr/>
        <w:tc>
          <w:tcPr>
            <w:tcW w:w="950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502" w:type="dxa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  <w:t>Neise Mendes Duarte</w:t>
            </w:r>
          </w:p>
          <w:p>
            <w:pPr>
              <w:pStyle w:val="Normal"/>
              <w:spacing w:lineRule="auto" w:line="276"/>
              <w:jc w:val="center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  <w:t>Analista do Ministério Público – MAMP 5011</w:t>
            </w:r>
          </w:p>
          <w:p>
            <w:pPr>
              <w:pStyle w:val="Normal"/>
              <w:spacing w:lineRule="auto" w:line="276"/>
              <w:jc w:val="center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  <w:t>Historiadora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701" w:right="1701" w:header="709" w:top="766" w:footer="295" w:bottom="352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Garamond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color w:val="000000"/>
      </w:rPr>
    </w:pPr>
    <w:r>
      <w:rPr/>
      <w:drawing>
        <wp:inline distT="0" distB="0" distL="0" distR="0">
          <wp:extent cx="5334000" cy="561975"/>
          <wp:effectExtent l="0" t="0" r="0" b="0"/>
          <wp:docPr id="6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1" r="-9" b="30424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Notaderodap"/>
        <w:rPr/>
      </w:pPr>
      <w:r>
        <w:rPr/>
        <w:footnoteRef/>
        <w:tab/>
        <w:t xml:space="preserve"> </w:t>
      </w:r>
      <w:r>
        <w:rPr>
          <w:rFonts w:ascii="Garamond" w:hAnsi="Garamond"/>
          <w:sz w:val="20"/>
          <w:szCs w:val="20"/>
        </w:rPr>
        <w:t xml:space="preserve">Ofício nº 046/2018.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right="360" w:hanging="0"/>
      <w:jc w:val="center"/>
      <w:rPr/>
    </w:pPr>
    <w:r>
      <w:rPr/>
      <w:drawing>
        <wp:inline distT="0" distB="0" distL="0" distR="0">
          <wp:extent cx="5334000" cy="807085"/>
          <wp:effectExtent l="0" t="0" r="0" b="0"/>
          <wp:docPr id="5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1" r="-9" b="-6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114300" distR="114300" simplePos="0" locked="0" layoutInCell="1" allowOverlap="1" relativeHeight="5" wp14:anchorId="73BDD5C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1590" cy="174625"/>
              <wp:effectExtent l="0" t="0" r="0" b="0"/>
              <wp:wrapSquare wrapText="bothSides"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414.5pt;margin-top:0.05pt;width:1.6pt;height:13.65pt;mso-position-horizontal:right;mso-position-horizontal-relative:margin" wp14:anchorId="73BDD5C4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4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keepNext/>
      <w:widowControl w:val="false"/>
      <w:jc w:val="center"/>
      <w:outlineLvl w:val="0"/>
    </w:pPr>
    <w:rPr>
      <w:b/>
      <w:bCs/>
    </w:rPr>
  </w:style>
  <w:style w:type="paragraph" w:styleId="Ttulo2">
    <w:name w:val="Heading 2"/>
    <w:basedOn w:val="Normal"/>
    <w:qFormat/>
    <w:pPr>
      <w:keepNext/>
      <w:widowControl w:val="fals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qFormat/>
    <w:pPr>
      <w:keepNext/>
      <w:widowControl w:val="false"/>
      <w:outlineLvl w:val="2"/>
    </w:pPr>
    <w:rPr>
      <w:rFonts w:ascii="Tahoma" w:hAnsi="Tahoma" w:cs="Tahoma"/>
      <w:b/>
      <w:bCs/>
      <w:sz w:val="21"/>
    </w:rPr>
  </w:style>
  <w:style w:type="paragraph" w:styleId="Ttulo7">
    <w:name w:val="Heading 7"/>
    <w:basedOn w:val="Normal"/>
    <w:qFormat/>
    <w:pPr>
      <w:keepNext/>
      <w:widowControl w:val="false"/>
      <w:jc w:val="both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0efe"/>
    <w:pPr>
      <w:keepNext/>
      <w:keepLines/>
      <w:spacing w:before="200" w:after="0"/>
      <w:outlineLvl w:val="7"/>
    </w:pPr>
    <w:rPr>
      <w:rFonts w:ascii="Cambria" w:hAnsi="Cambria" w:eastAsia="" w:asciiTheme="majorHAnsi" w:eastAsiaTheme="majorEastAsia" w:hAnsiTheme="majorHAnsi"/>
      <w:color w:val="404040" w:themeColor="text1" w:themeTint="bf"/>
      <w:sz w:val="20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>
      <w:rFonts w:ascii="Symbol" w:hAnsi="Symbol" w:eastAsia="Times New Roman" w:cs="Times New Roman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Garamond" w:hAnsi="Garamond" w:cs="Garamond"/>
      <w:b/>
      <w:bCs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H1" w:customStyle="1">
    <w:name w:val="h1"/>
    <w:basedOn w:val="DefaultParagraphFont"/>
    <w:qFormat/>
    <w:rPr/>
  </w:style>
  <w:style w:type="character" w:styleId="Ttulo2Char" w:customStyle="1">
    <w:name w:val="Título 2 Char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coradanotaderodap" w:customStyle="1">
    <w:name w:val="Âncora da nota de rodapé"/>
    <w:rPr>
      <w:vertAlign w:val="superscript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Nfase">
    <w:name w:val="Ênfase"/>
    <w:uiPriority w:val="20"/>
    <w:qFormat/>
    <w:rPr>
      <w:i/>
      <w:iCs/>
    </w:rPr>
  </w:style>
  <w:style w:type="character" w:styleId="Nfaseforte" w:customStyle="1">
    <w:name w:val="Ênfase forte"/>
    <w:qFormat/>
    <w:rPr>
      <w:b/>
      <w:bCs/>
    </w:rPr>
  </w:style>
  <w:style w:type="character" w:styleId="Smbolosdenumerao" w:customStyle="1">
    <w:name w:val="Símbolos de numeração"/>
    <w:qFormat/>
    <w:rPr/>
  </w:style>
  <w:style w:type="character" w:styleId="FootnoteCharacters" w:customStyle="1">
    <w:name w:val="Footnote Characters"/>
    <w:basedOn w:val="DefaultParagraphFont"/>
    <w:semiHidden/>
    <w:unhideWhenUsed/>
    <w:qFormat/>
    <w:rPr>
      <w:vertAlign w:val="superscri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22120"/>
    <w:rPr>
      <w:rFonts w:ascii="Tahoma" w:hAnsi="Tahoma"/>
      <w:sz w:val="16"/>
      <w:szCs w:val="14"/>
    </w:rPr>
  </w:style>
  <w:style w:type="character" w:styleId="TextodenotaderodapChar" w:customStyle="1">
    <w:name w:val="Texto de nota de rodapé Char"/>
    <w:basedOn w:val="DefaultParagraphFont"/>
    <w:link w:val="Textodenotaderodap"/>
    <w:semiHidden/>
    <w:qFormat/>
    <w:rsid w:val="005542cf"/>
    <w:rPr>
      <w:rFonts w:eastAsia="Times New Roman" w:cs="Times New Roman"/>
      <w:sz w:val="20"/>
      <w:szCs w:val="20"/>
      <w:lang w:eastAsia="pt-BR" w:bidi="ar-SA"/>
    </w:rPr>
  </w:style>
  <w:style w:type="character" w:styleId="Object" w:customStyle="1">
    <w:name w:val="object"/>
    <w:basedOn w:val="DefaultParagraphFont"/>
    <w:qFormat/>
    <w:rsid w:val="005542cf"/>
    <w:rPr/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670efe"/>
    <w:rPr>
      <w:rFonts w:ascii="Cambria" w:hAnsi="Cambria" w:eastAsia="" w:asciiTheme="majorHAnsi" w:eastAsiaTheme="majorEastAsia" w:hAnsiTheme="majorHAnsi"/>
      <w:color w:val="404040" w:themeColor="text1" w:themeTint="bf"/>
      <w:sz w:val="20"/>
      <w:szCs w:val="18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d143c7"/>
    <w:rPr>
      <w:szCs w:val="21"/>
    </w:rPr>
  </w:style>
  <w:style w:type="character" w:styleId="TextodenotadefimChar" w:customStyle="1">
    <w:name w:val="Texto de nota de fim Char"/>
    <w:basedOn w:val="DefaultParagraphFont"/>
    <w:link w:val="Textodenotadefim"/>
    <w:uiPriority w:val="99"/>
    <w:semiHidden/>
    <w:qFormat/>
    <w:rsid w:val="00823ef6"/>
    <w:rPr>
      <w:sz w:val="20"/>
      <w:szCs w:val="18"/>
    </w:rPr>
  </w:style>
  <w:style w:type="character" w:styleId="Ncoradanotadefim" w:customStyle="1">
    <w:name w:val="Âncora da nota de fim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823ef6"/>
    <w:rPr>
      <w:vertAlign w:val="superscript"/>
    </w:rPr>
  </w:style>
  <w:style w:type="character" w:styleId="Strong">
    <w:name w:val="Strong"/>
    <w:basedOn w:val="DefaultParagraphFont"/>
    <w:uiPriority w:val="22"/>
    <w:qFormat/>
    <w:rsid w:val="00850bf0"/>
    <w:rPr>
      <w:b/>
      <w:bCs/>
    </w:rPr>
  </w:style>
  <w:style w:type="character" w:styleId="ListLabel1" w:customStyle="1">
    <w:name w:val="ListLabel 1"/>
    <w:qFormat/>
    <w:rPr>
      <w:rFonts w:cs="Symbol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Wingdings"/>
    </w:rPr>
  </w:style>
  <w:style w:type="character" w:styleId="ListLabel4" w:customStyle="1">
    <w:name w:val="ListLabel 4"/>
    <w:qFormat/>
    <w:rPr>
      <w:rFonts w:cs="Symbol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Wingdings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Wingdings"/>
    </w:rPr>
  </w:style>
  <w:style w:type="character" w:styleId="ListLabel10" w:customStyle="1">
    <w:name w:val="ListLabel 10"/>
    <w:qFormat/>
    <w:rPr>
      <w:rFonts w:eastAsia="Times New Roman" w:cs="Times New Roman"/>
    </w:rPr>
  </w:style>
  <w:style w:type="character" w:styleId="ListLabel11" w:customStyle="1">
    <w:name w:val="ListLabel 11"/>
    <w:qFormat/>
    <w:rPr>
      <w:rFonts w:ascii="Garamond" w:hAnsi="Garamond" w:cs="Garamond"/>
      <w:b/>
      <w:bCs/>
    </w:rPr>
  </w:style>
  <w:style w:type="character" w:styleId="ListLabel12" w:customStyle="1">
    <w:name w:val="ListLabel 12"/>
    <w:qFormat/>
    <w:rPr>
      <w:rFonts w:ascii="Garamond" w:hAnsi="Garamond" w:cs="Garamond"/>
      <w:b/>
      <w:bCs/>
    </w:rPr>
  </w:style>
  <w:style w:type="character" w:styleId="ListLabel13" w:customStyle="1">
    <w:name w:val="ListLabel 13"/>
    <w:qFormat/>
    <w:rPr>
      <w:rFonts w:eastAsia="OpenSymbol" w:cs="OpenSymbol"/>
    </w:rPr>
  </w:style>
  <w:style w:type="character" w:styleId="ListLabel14" w:customStyle="1">
    <w:name w:val="ListLabel 14"/>
    <w:qFormat/>
    <w:rPr>
      <w:rFonts w:eastAsia="OpenSymbol" w:cs="OpenSymbol"/>
    </w:rPr>
  </w:style>
  <w:style w:type="character" w:styleId="ListLabel15" w:customStyle="1">
    <w:name w:val="ListLabel 15"/>
    <w:qFormat/>
    <w:rPr>
      <w:rFonts w:eastAsia="OpenSymbol" w:cs="OpenSymbol"/>
    </w:rPr>
  </w:style>
  <w:style w:type="character" w:styleId="ListLabel16" w:customStyle="1">
    <w:name w:val="ListLabel 16"/>
    <w:qFormat/>
    <w:rPr>
      <w:rFonts w:eastAsia="OpenSymbol" w:cs="OpenSymbol"/>
    </w:rPr>
  </w:style>
  <w:style w:type="character" w:styleId="ListLabel17" w:customStyle="1">
    <w:name w:val="ListLabel 17"/>
    <w:qFormat/>
    <w:rPr>
      <w:rFonts w:eastAsia="OpenSymbol" w:cs="OpenSymbol"/>
    </w:rPr>
  </w:style>
  <w:style w:type="character" w:styleId="ListLabel18" w:customStyle="1">
    <w:name w:val="ListLabel 18"/>
    <w:qFormat/>
    <w:rPr>
      <w:rFonts w:eastAsia="OpenSymbol" w:cs="OpenSymbol"/>
    </w:rPr>
  </w:style>
  <w:style w:type="character" w:styleId="ListLabel19" w:customStyle="1">
    <w:name w:val="ListLabel 19"/>
    <w:qFormat/>
    <w:rPr>
      <w:rFonts w:eastAsia="OpenSymbol" w:cs="OpenSymbol"/>
    </w:rPr>
  </w:style>
  <w:style w:type="character" w:styleId="ListLabel20" w:customStyle="1">
    <w:name w:val="ListLabel 20"/>
    <w:qFormat/>
    <w:rPr>
      <w:rFonts w:eastAsia="OpenSymbol" w:cs="OpenSymbol"/>
    </w:rPr>
  </w:style>
  <w:style w:type="character" w:styleId="ListLabel21" w:customStyle="1">
    <w:name w:val="ListLabel 21"/>
    <w:qFormat/>
    <w:rPr>
      <w:rFonts w:eastAsia="OpenSymbol" w:cs="OpenSymbol"/>
    </w:rPr>
  </w:style>
  <w:style w:type="character" w:styleId="ListLabel22" w:customStyle="1">
    <w:name w:val="ListLabel 22"/>
    <w:qFormat/>
    <w:rPr>
      <w:rFonts w:cs="Garamond"/>
      <w:b/>
      <w:bCs/>
    </w:rPr>
  </w:style>
  <w:style w:type="character" w:styleId="ListLabel23" w:customStyle="1">
    <w:name w:val="ListLabel 23"/>
    <w:qFormat/>
    <w:rPr>
      <w:rFonts w:cs="Garamond"/>
      <w:b/>
      <w:bCs/>
    </w:rPr>
  </w:style>
  <w:style w:type="character" w:styleId="ListLabel24" w:customStyle="1">
    <w:name w:val="ListLabel 24"/>
    <w:qFormat/>
    <w:rPr>
      <w:rFonts w:cs="Garamond"/>
      <w:b/>
      <w:bCs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Courier New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Courier New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ascii="Garamond" w:hAnsi="Garamond" w:cs="Garamond"/>
      <w:b/>
      <w:bCs/>
    </w:rPr>
  </w:style>
  <w:style w:type="character" w:styleId="ListLabel53" w:customStyle="1">
    <w:name w:val="ListLabel 53"/>
    <w:qFormat/>
    <w:rPr>
      <w:rFonts w:ascii="Garamond" w:hAnsi="Garamond" w:cs="Symbol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Caracteresdenotadefim" w:customStyle="1">
    <w:name w:val="Caracteres de nota de fim"/>
    <w:qFormat/>
    <w:rPr/>
  </w:style>
  <w:style w:type="character" w:styleId="ListLabel62" w:customStyle="1">
    <w:name w:val="ListLabel 62"/>
    <w:qFormat/>
    <w:rPr>
      <w:rFonts w:ascii="Garamond" w:hAnsi="Garamond" w:cs="Symbol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143c7"/>
    <w:pPr>
      <w:spacing w:before="0" w:after="120"/>
    </w:pPr>
    <w:rPr>
      <w:szCs w:val="21"/>
    </w:rPr>
  </w:style>
  <w:style w:type="paragraph" w:styleId="Lista">
    <w:name w:val="List"/>
    <w:basedOn w:val="Normal"/>
    <w:pPr>
      <w:widowControl w:val="false"/>
    </w:pPr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widowControl w:val="false"/>
      <w:suppressLineNumbers/>
    </w:pPr>
    <w:rPr/>
  </w:style>
  <w:style w:type="paragraph" w:styleId="Ttulododocumento">
    <w:name w:val="Title"/>
    <w:basedOn w:val="Ttulo"/>
    <w:qFormat/>
    <w:pPr>
      <w:keepNext/>
      <w:widowControl w:val="false"/>
      <w:bidi w:val="0"/>
      <w:spacing w:before="240" w:after="120"/>
      <w:jc w:val="left"/>
    </w:pPr>
    <w:rPr>
      <w:rFonts w:ascii="Arial" w:hAnsi="Arial" w:eastAsia="SimSun" w:cs="Mangal"/>
      <w:color w:val="00000A"/>
      <w:sz w:val="28"/>
      <w:szCs w:val="28"/>
      <w:lang w:val="pt-BR" w:eastAsia="zh-CN" w:bidi="hi-IN"/>
    </w:rPr>
  </w:style>
  <w:style w:type="paragraph" w:styleId="Caption">
    <w:name w:val="caption"/>
    <w:qFormat/>
    <w:pPr>
      <w:widowControl w:val="false"/>
      <w:suppressLineNumbers/>
      <w:bidi w:val="0"/>
      <w:spacing w:before="120" w:after="120"/>
      <w:jc w:val="left"/>
    </w:pPr>
    <w:rPr>
      <w:rFonts w:ascii="Times New Roman" w:hAnsi="Times New Roman" w:eastAsia="SimSun" w:cs="Mangal"/>
      <w:i/>
      <w:iCs/>
      <w:color w:val="00000A"/>
      <w:sz w:val="24"/>
      <w:szCs w:val="24"/>
      <w:lang w:val="pt-BR" w:eastAsia="zh-CN" w:bidi="hi-IN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Subttulo">
    <w:name w:val="Subtitle"/>
    <w:basedOn w:val="Ttulododocumento"/>
    <w:qFormat/>
    <w:pPr>
      <w:jc w:val="center"/>
    </w:pPr>
    <w:rPr>
      <w:i/>
      <w:iCs/>
    </w:rPr>
  </w:style>
  <w:style w:type="paragraph" w:styleId="Footnote" w:customStyle="1">
    <w:name w:val="Footnote"/>
    <w:basedOn w:val="Standard"/>
    <w:qFormat/>
    <w:pPr/>
    <w:rPr>
      <w:sz w:val="20"/>
      <w:szCs w:val="20"/>
    </w:rPr>
  </w:style>
  <w:style w:type="paragraph" w:styleId="BodyText3">
    <w:name w:val="Body Text 3"/>
    <w:basedOn w:val="Normal"/>
    <w:qFormat/>
    <w:pPr>
      <w:jc w:val="both"/>
    </w:pPr>
    <w:rPr/>
  </w:style>
  <w:style w:type="paragraph" w:styleId="Cabealho">
    <w:name w:val="Header"/>
    <w:basedOn w:val="Standard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Standard"/>
    <w:pPr>
      <w:tabs>
        <w:tab w:val="center" w:pos="4419" w:leader="none"/>
        <w:tab w:val="right" w:pos="8838" w:leader="none"/>
      </w:tabs>
    </w:pPr>
    <w:rPr/>
  </w:style>
  <w:style w:type="paragraph" w:styleId="NormalWeb">
    <w:name w:val="Normal (Web)"/>
    <w:basedOn w:val="Standard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Ttulodetabela" w:customStyle="1">
    <w:name w:val="Título de tabela"/>
    <w:basedOn w:val="Standard"/>
    <w:qFormat/>
    <w:pPr>
      <w:suppressLineNumbers/>
      <w:jc w:val="center"/>
    </w:pPr>
    <w:rPr>
      <w:b/>
      <w:bCs/>
    </w:rPr>
  </w:style>
  <w:style w:type="paragraph" w:styleId="BodyTextIndent3">
    <w:name w:val="Body Text Indent 3"/>
    <w:basedOn w:val="Normal"/>
    <w:qFormat/>
    <w:pPr>
      <w:ind w:left="240" w:firstLine="468"/>
      <w:jc w:val="both"/>
    </w:pPr>
    <w:rPr/>
  </w:style>
  <w:style w:type="paragraph" w:styleId="Msobodyte0pt" w:customStyle="1">
    <w:name w:val="msobodyte.0pt"/>
    <w:basedOn w:val="Standard"/>
    <w:qFormat/>
    <w:pPr>
      <w:spacing w:before="280" w:after="280"/>
    </w:pPr>
    <w:rPr>
      <w:rFonts w:ascii="Arial Unicode MS" w:hAnsi="Arial Unicode MS" w:eastAsia="Arial Unicode MS" w:cs="Arial Unicode MS"/>
      <w:color w:val="000000"/>
    </w:rPr>
  </w:style>
  <w:style w:type="paragraph" w:styleId="Msobodytex0pt" w:customStyle="1">
    <w:name w:val="msobodytex.0pt"/>
    <w:basedOn w:val="Standard"/>
    <w:qFormat/>
    <w:pPr>
      <w:spacing w:before="280" w:after="280"/>
    </w:pPr>
    <w:rPr>
      <w:rFonts w:ascii="Arial Unicode MS" w:hAnsi="Arial Unicode MS" w:eastAsia="Arial Unicode MS" w:cs="Arial Unicode MS"/>
      <w:color w:val="000000"/>
    </w:rPr>
  </w:style>
  <w:style w:type="paragraph" w:styleId="PlainText">
    <w:name w:val="Plain Text"/>
    <w:basedOn w:val="Standard"/>
    <w:qFormat/>
    <w:pPr/>
    <w:rPr>
      <w:rFonts w:ascii="Courier New" w:hAnsi="Courier New" w:cs="Courier New"/>
      <w:sz w:val="20"/>
      <w:szCs w:val="20"/>
    </w:rPr>
  </w:style>
  <w:style w:type="paragraph" w:styleId="Style31" w:customStyle="1">
    <w:name w:val="style3"/>
    <w:basedOn w:val="Standard"/>
    <w:qFormat/>
    <w:pPr>
      <w:spacing w:before="280" w:after="280"/>
    </w:pPr>
    <w:rPr/>
  </w:style>
  <w:style w:type="paragraph" w:styleId="Textbodyindent" w:customStyle="1">
    <w:name w:val="Text body indent"/>
    <w:basedOn w:val="Standard"/>
    <w:qFormat/>
    <w:pPr>
      <w:ind w:left="1701" w:firstLine="709"/>
      <w:jc w:val="both"/>
    </w:pPr>
    <w:rPr>
      <w:rFonts w:ascii="Garamond" w:hAnsi="Garamond" w:cs="Garamond"/>
    </w:rPr>
  </w:style>
  <w:style w:type="paragraph" w:styleId="BodyTextIndent2">
    <w:name w:val="Body Text Indent 2"/>
    <w:basedOn w:val="Standard"/>
    <w:qFormat/>
    <w:pPr>
      <w:ind w:firstLine="374"/>
      <w:jc w:val="both"/>
    </w:pPr>
    <w:rPr>
      <w:rFonts w:ascii="Garamond" w:hAnsi="Garamond" w:cs="Garamond"/>
    </w:rPr>
  </w:style>
  <w:style w:type="paragraph" w:styleId="Contedodoquadro" w:customStyle="1">
    <w:name w:val="Conteúdo do quadro"/>
    <w:basedOn w:val="Textbody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22120"/>
    <w:pPr/>
    <w:rPr>
      <w:rFonts w:ascii="Tahoma" w:hAnsi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222120"/>
    <w:pPr>
      <w:spacing w:before="0" w:after="0"/>
      <w:ind w:left="720" w:hanging="0"/>
      <w:contextualSpacing/>
    </w:pPr>
    <w:rPr>
      <w:szCs w:val="21"/>
    </w:rPr>
  </w:style>
  <w:style w:type="paragraph" w:styleId="Footnotetext">
    <w:name w:val="footnote text"/>
    <w:basedOn w:val="Normal"/>
    <w:link w:val="TextodenotaderodapChar"/>
    <w:semiHidden/>
    <w:qFormat/>
    <w:rsid w:val="005542cf"/>
    <w:pPr>
      <w:suppressAutoHyphens w:val="false"/>
      <w:textAlignment w:val="auto"/>
    </w:pPr>
    <w:rPr>
      <w:rFonts w:eastAsia="Times New Roman" w:cs="Times New Roman"/>
      <w:sz w:val="20"/>
      <w:szCs w:val="20"/>
      <w:lang w:eastAsia="pt-BR" w:bidi="ar-SA"/>
    </w:rPr>
  </w:style>
  <w:style w:type="paragraph" w:styleId="Endnotetext">
    <w:name w:val="endnote text"/>
    <w:basedOn w:val="Normal"/>
    <w:link w:val="TextodenotadefimChar"/>
    <w:uiPriority w:val="99"/>
    <w:semiHidden/>
    <w:unhideWhenUsed/>
    <w:qFormat/>
    <w:rsid w:val="00823ef6"/>
    <w:pPr/>
    <w:rPr>
      <w:sz w:val="20"/>
      <w:szCs w:val="18"/>
    </w:rPr>
  </w:style>
  <w:style w:type="paragraph" w:styleId="Default" w:customStyle="1">
    <w:name w:val="Default"/>
    <w:qFormat/>
    <w:rsid w:val="00764aa1"/>
    <w:pPr>
      <w:widowControl/>
      <w:bidi w:val="0"/>
      <w:jc w:val="left"/>
    </w:pPr>
    <w:rPr>
      <w:rFonts w:ascii="Times New Roman" w:hAnsi="Times New Roman" w:eastAsia="SimSun" w:cs="Times New Roman"/>
      <w:color w:val="000000"/>
      <w:sz w:val="24"/>
      <w:szCs w:val="24"/>
      <w:lang w:val="pt-BR" w:eastAsia="zh-CN" w:bidi="ar-SA"/>
    </w:rPr>
  </w:style>
  <w:style w:type="paragraph" w:styleId="Corpodetextorecuado">
    <w:name w:val="Body Text Indent"/>
    <w:basedOn w:val="Normal"/>
    <w:pPr>
      <w:spacing w:lineRule="auto" w:line="360"/>
      <w:ind w:left="1418" w:hanging="0"/>
      <w:jc w:val="both"/>
    </w:pPr>
    <w:rPr>
      <w:rFonts w:ascii="Arial" w:hAnsi="Arial" w:cs="Arial"/>
      <w:b/>
      <w:i/>
      <w:sz w:val="22"/>
      <w:szCs w:val="20"/>
    </w:rPr>
  </w:style>
  <w:style w:type="paragraph" w:styleId="Notaderodap">
    <w:name w:val="Footnote Text"/>
    <w:basedOn w:val="Normal"/>
    <w:pPr/>
    <w:rPr/>
  </w:style>
  <w:style w:type="paragraph" w:styleId="Ttulo11">
    <w:name w:val="Título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Ttulo">
    <w:name w:val="WW-Título"/>
    <w:basedOn w:val="Ttulo11"/>
    <w:qFormat/>
    <w:pPr/>
    <w:rPr/>
  </w:style>
  <w:style w:type="paragraph" w:styleId="Corpodetexto3">
    <w:name w:val="Corpo de texto 3"/>
    <w:basedOn w:val="Normal"/>
    <w:qFormat/>
    <w:pPr>
      <w:jc w:val="both"/>
    </w:pPr>
    <w:rPr/>
  </w:style>
  <w:style w:type="paragraph" w:styleId="Recuodecorpodetexto2">
    <w:name w:val="Recuo de corpo de texto 2"/>
    <w:basedOn w:val="Normal"/>
    <w:qFormat/>
    <w:pPr>
      <w:ind w:firstLine="708"/>
      <w:jc w:val="both"/>
      <w:outlineLvl w:val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542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B7CA-A990-4D34-AE01-EF350B81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Application>LibreOffice/5.2.5.1$Windows_x86 LibreOffice_project/0312e1a284a7d50ca85a365c316c7abbf20a4d22</Application>
  <Pages>4</Pages>
  <Words>1217</Words>
  <Characters>6775</Characters>
  <CharactersWithSpaces>7995</CharactersWithSpaces>
  <Paragraphs>53</Paragraphs>
  <Company>Ministério Público do Estado de Minas Gerais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2019-01-23T18:00:00Z</dcterms:created>
  <dc:creator>Procuradoria Geral de Justiça de MG</dc:creator>
  <dc:description/>
  <dc:language>pt-BR</dc:language>
  <cp:lastModifiedBy/>
  <cp:lastPrinted>2018-10-30T14:19:00Z</cp:lastPrinted>
  <dcterms:modified xsi:type="dcterms:W3CDTF">2020-01-16T14:57:42Z</dcterms:modified>
  <cp:revision>54</cp:revision>
  <dc:subject/>
  <dc:title>PARECER TÉCNICO N º 05/ 2017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Ministério Público do Estado de Minas Gerais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