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3"/>
        <w:spacing w:lineRule="auto" w:line="276"/>
        <w:jc w:val="center"/>
        <w:rPr>
          <w:rFonts w:ascii="Garamond" w:hAnsi="Garamond" w:cs="Garamond"/>
          <w:sz w:val="24"/>
        </w:rPr>
      </w:pPr>
      <w:r>
        <w:rPr>
          <w:rFonts w:cs="Garamond" w:ascii="Garamond" w:hAnsi="Garamond"/>
          <w:sz w:val="24"/>
        </w:rPr>
      </w:r>
    </w:p>
    <w:p>
      <w:pPr>
        <w:pStyle w:val="Ttulo3"/>
        <w:spacing w:lineRule="auto" w:line="276"/>
        <w:jc w:val="center"/>
        <w:rPr/>
      </w:pPr>
      <w:r>
        <w:rPr>
          <w:rFonts w:cs="Garamond" w:ascii="Garamond" w:hAnsi="Garamond"/>
          <w:sz w:val="24"/>
        </w:rPr>
        <w:t xml:space="preserve">NOTA TÉCNICA N º </w:t>
      </w:r>
      <w:r>
        <w:rPr>
          <w:rFonts w:cs="Garamond" w:ascii="Garamond" w:hAnsi="Garamond"/>
          <w:sz w:val="24"/>
        </w:rPr>
        <w:t>03</w:t>
      </w:r>
      <w:r>
        <w:rPr>
          <w:rFonts w:cs="Garamond" w:ascii="Garamond" w:hAnsi="Garamond"/>
          <w:sz w:val="24"/>
        </w:rPr>
        <w:t>/2020</w:t>
      </w:r>
    </w:p>
    <w:p>
      <w:pPr>
        <w:pStyle w:val="Standard"/>
        <w:spacing w:lineRule="auto" w:line="276"/>
        <w:jc w:val="center"/>
        <w:rPr>
          <w:rFonts w:ascii="Garamond" w:hAnsi="Garamond" w:cs="Garamond"/>
        </w:rPr>
      </w:pPr>
      <w:r>
        <w:rPr>
          <w:rFonts w:cs="Garamond" w:ascii="Garamond" w:hAnsi="Garamond"/>
        </w:rPr>
      </w:r>
    </w:p>
    <w:p>
      <w:pPr>
        <w:pStyle w:val="Ttulodetabela"/>
        <w:spacing w:lineRule="auto" w:line="276"/>
        <w:rPr/>
      </w:pPr>
      <w:r>
        <w:rPr>
          <w:rFonts w:cs="Garamond" w:ascii="Garamond" w:hAnsi="Garamond"/>
        </w:rPr>
        <w:t>PAAF 0024.19.010570-0</w:t>
      </w:r>
    </w:p>
    <w:p>
      <w:pPr>
        <w:pStyle w:val="Standard"/>
        <w:spacing w:lineRule="auto" w:line="276"/>
        <w:jc w:val="both"/>
        <w:rPr>
          <w:rFonts w:ascii="Garamond" w:hAnsi="Garamond" w:cs="Garamond"/>
          <w:b/>
          <w:b/>
          <w:bCs/>
        </w:rPr>
      </w:pPr>
      <w:r>
        <w:rPr>
          <w:rFonts w:cs="Garamond" w:ascii="Garamond" w:hAnsi="Garamond"/>
          <w:b/>
          <w:bCs/>
        </w:rPr>
      </w:r>
    </w:p>
    <w:p>
      <w:pPr>
        <w:pStyle w:val="Standard"/>
        <w:numPr>
          <w:ilvl w:val="0"/>
          <w:numId w:val="1"/>
        </w:numPr>
        <w:spacing w:lineRule="auto" w:line="276"/>
        <w:jc w:val="both"/>
        <w:rPr/>
      </w:pPr>
      <w:r>
        <w:rPr>
          <w:rFonts w:cs="Garamond" w:ascii="Garamond" w:hAnsi="Garamond"/>
          <w:b/>
          <w:bCs/>
        </w:rPr>
        <w:t xml:space="preserve">Objeto: </w:t>
      </w:r>
      <w:r>
        <w:rPr>
          <w:rFonts w:cs="Garamond" w:ascii="Garamond" w:hAnsi="Garamond"/>
          <w:bCs/>
        </w:rPr>
        <w:t>Imóvel situado na Rua Coronel Justino Nunes, nº 10, bairro Centenário.</w:t>
      </w:r>
    </w:p>
    <w:p>
      <w:pPr>
        <w:pStyle w:val="Standard"/>
        <w:spacing w:lineRule="auto" w:line="276"/>
        <w:ind w:left="720" w:hanging="0"/>
        <w:jc w:val="both"/>
        <w:rPr>
          <w:rFonts w:ascii="Garamond" w:hAnsi="Garamond" w:cs="Garamond"/>
          <w:b/>
          <w:b/>
          <w:bCs/>
        </w:rPr>
      </w:pPr>
      <w:r>
        <w:rPr>
          <w:rFonts w:cs="Garamond" w:ascii="Garamond" w:hAnsi="Garamond"/>
          <w:b/>
          <w:bCs/>
        </w:rPr>
      </w:r>
    </w:p>
    <w:p>
      <w:pPr>
        <w:pStyle w:val="Standard"/>
        <w:numPr>
          <w:ilvl w:val="0"/>
          <w:numId w:val="1"/>
        </w:numPr>
        <w:spacing w:lineRule="auto" w:line="276"/>
        <w:jc w:val="both"/>
        <w:rPr>
          <w:rFonts w:ascii="Garamond" w:hAnsi="Garamond"/>
        </w:rPr>
      </w:pPr>
      <w:r>
        <w:rPr>
          <w:rFonts w:cs="Garamond" w:ascii="Garamond" w:hAnsi="Garamond"/>
          <w:b/>
          <w:bCs/>
        </w:rPr>
        <w:t xml:space="preserve">Município: </w:t>
      </w:r>
      <w:r>
        <w:rPr>
          <w:rFonts w:cs="Garamond" w:ascii="Garamond" w:hAnsi="Garamond"/>
          <w:bCs/>
        </w:rPr>
        <w:t xml:space="preserve">Formiga </w:t>
      </w:r>
    </w:p>
    <w:p>
      <w:pPr>
        <w:pStyle w:val="Standard"/>
        <w:spacing w:lineRule="auto" w:line="276"/>
        <w:ind w:left="720" w:hanging="0"/>
        <w:jc w:val="both"/>
        <w:rPr>
          <w:rFonts w:ascii="Garamond" w:hAnsi="Garamond" w:cs="Garamond"/>
          <w:b/>
          <w:b/>
          <w:bCs/>
        </w:rPr>
      </w:pPr>
      <w:r>
        <w:rPr>
          <w:rFonts w:cs="Garamond" w:ascii="Garamond" w:hAnsi="Garamond"/>
          <w:b/>
          <w:bCs/>
        </w:rPr>
      </w:r>
    </w:p>
    <w:p>
      <w:pPr>
        <w:pStyle w:val="Standard"/>
        <w:numPr>
          <w:ilvl w:val="0"/>
          <w:numId w:val="1"/>
        </w:numPr>
        <w:spacing w:lineRule="auto" w:line="276"/>
        <w:jc w:val="both"/>
        <w:rPr/>
      </w:pPr>
      <w:r>
        <w:rPr>
          <w:rFonts w:cs="Garamond" w:ascii="Garamond" w:hAnsi="Garamond"/>
          <w:b/>
          <w:bCs/>
        </w:rPr>
        <w:t xml:space="preserve">Proprietário: </w:t>
      </w:r>
      <w:r>
        <w:rPr>
          <w:rFonts w:cs="Garamond" w:ascii="Garamond" w:hAnsi="Garamond"/>
          <w:b w:val="false"/>
          <w:bCs w:val="false"/>
        </w:rPr>
        <w:t>Herdeiros de Antônio Rodrigues Costa.</w:t>
      </w:r>
    </w:p>
    <w:p>
      <w:pPr>
        <w:pStyle w:val="ListParagraph"/>
        <w:ind w:left="1440" w:hanging="0"/>
        <w:rPr>
          <w:rFonts w:ascii="Garamond" w:hAnsi="Garamond"/>
        </w:rPr>
      </w:pPr>
      <w:r>
        <w:rPr>
          <w:rFonts w:ascii="Garamond" w:hAnsi="Garamond"/>
        </w:rPr>
      </w:r>
    </w:p>
    <w:p>
      <w:pPr>
        <w:pStyle w:val="Standard"/>
        <w:numPr>
          <w:ilvl w:val="0"/>
          <w:numId w:val="1"/>
        </w:numPr>
        <w:spacing w:lineRule="auto" w:line="276"/>
        <w:jc w:val="both"/>
        <w:rPr/>
      </w:pPr>
      <w:r>
        <w:rPr>
          <w:rFonts w:ascii="Garamond" w:hAnsi="Garamond"/>
          <w:b/>
        </w:rPr>
        <w:t>Proteção existente</w:t>
      </w:r>
      <w:r>
        <w:rPr>
          <w:rFonts w:ascii="Garamond" w:hAnsi="Garamond"/>
        </w:rPr>
        <w:t xml:space="preserve">: Inventário municipal. </w:t>
      </w:r>
    </w:p>
    <w:p>
      <w:pPr>
        <w:pStyle w:val="Standard"/>
        <w:spacing w:lineRule="auto" w:line="276"/>
        <w:ind w:left="720" w:hanging="0"/>
        <w:jc w:val="both"/>
        <w:rPr>
          <w:rFonts w:ascii="Garamond" w:hAnsi="Garamond"/>
        </w:rPr>
      </w:pPr>
      <w:r>
        <w:rPr>
          <w:rFonts w:ascii="Garamond" w:hAnsi="Garamond"/>
        </w:rPr>
      </w:r>
    </w:p>
    <w:p>
      <w:pPr>
        <w:pStyle w:val="Standard"/>
        <w:numPr>
          <w:ilvl w:val="0"/>
          <w:numId w:val="1"/>
        </w:numPr>
        <w:spacing w:lineRule="auto" w:line="276"/>
        <w:jc w:val="both"/>
        <w:rPr/>
      </w:pPr>
      <w:r>
        <w:rPr>
          <w:rFonts w:ascii="Garamond" w:hAnsi="Garamond"/>
          <w:b/>
          <w:bCs/>
        </w:rPr>
        <w:t xml:space="preserve">Objetivo: </w:t>
      </w:r>
      <w:r>
        <w:rPr>
          <w:rFonts w:ascii="Garamond" w:hAnsi="Garamond"/>
          <w:b w:val="false"/>
          <w:bCs w:val="false"/>
        </w:rPr>
        <w:t>Apurar danos ocasionados por eventual alteração de aspecto/demolição (parcial ou total) do bem cultural.</w:t>
      </w:r>
    </w:p>
    <w:p>
      <w:pPr>
        <w:pStyle w:val="Standard"/>
        <w:spacing w:lineRule="auto" w:line="276"/>
        <w:jc w:val="center"/>
        <w:rPr>
          <w:rFonts w:ascii="Garamond" w:hAnsi="Garamond"/>
        </w:rPr>
      </w:pPr>
      <w:r>
        <w:rPr>
          <w:rFonts w:ascii="Garamond" w:hAnsi="Garamond"/>
        </w:rPr>
      </w:r>
    </w:p>
    <w:p>
      <w:pPr>
        <w:pStyle w:val="Standard"/>
        <w:numPr>
          <w:ilvl w:val="0"/>
          <w:numId w:val="1"/>
        </w:numPr>
        <w:spacing w:lineRule="auto" w:line="276"/>
        <w:jc w:val="both"/>
        <w:rPr/>
      </w:pPr>
      <w:r>
        <w:rPr>
          <w:rFonts w:cs="Garamond" w:ascii="Garamond" w:hAnsi="Garamond"/>
          <w:b/>
          <w:bCs/>
        </w:rPr>
        <w:t>Considerações preliminares:</w:t>
      </w:r>
    </w:p>
    <w:p>
      <w:pPr>
        <w:pStyle w:val="ListParagraph"/>
        <w:rPr/>
      </w:pPr>
      <w:r>
        <w:rPr/>
      </w:r>
    </w:p>
    <w:p>
      <w:pPr>
        <w:pStyle w:val="Standard"/>
        <w:bidi w:val="0"/>
        <w:spacing w:lineRule="auto" w:line="276"/>
        <w:ind w:left="0" w:right="0" w:hanging="0"/>
        <w:jc w:val="both"/>
        <w:rPr/>
      </w:pPr>
      <w:r>
        <w:rPr>
          <w:rFonts w:cs="Garamond" w:ascii="Garamond" w:hAnsi="Garamond"/>
          <w:bCs/>
        </w:rPr>
        <w:tab/>
        <w:t>Por meio de ofício</w:t>
      </w:r>
      <w:r>
        <w:rPr>
          <w:rStyle w:val="Ncoradanotaderodap"/>
          <w:rFonts w:cs="Garamond" w:ascii="Garamond" w:hAnsi="Garamond"/>
          <w:bCs/>
        </w:rPr>
        <w:footnoteReference w:id="2"/>
      </w:r>
      <w:r>
        <w:rPr>
          <w:rFonts w:cs="Garamond" w:ascii="Garamond" w:hAnsi="Garamond"/>
          <w:bCs/>
        </w:rPr>
        <w:t xml:space="preserve">, datado de 5 de abril de 2019, o Conselho Municipal do Patrimônio Cultural de Formiga- COMPAC solicitou à 4ª Promotoria de Justiça o encaminhamento a esta coordenadoria de pedido de elaboração de laudo técnico sobre a Fazenda Boa Vista, localizada na Rua Coronel Justino Nunes, nº 10, bairro Centenário. Informou sobre a existência de dois requerimentos dos proprietários para demolição da edificação, sendo o primeiro datado de 26/06/2018 e o segundo, protocolado na Secretaria Municipal de Cultura em 21/09/2018.  </w:t>
      </w:r>
    </w:p>
    <w:p>
      <w:pPr>
        <w:pStyle w:val="Standard"/>
        <w:bidi w:val="0"/>
        <w:spacing w:lineRule="auto" w:line="276"/>
        <w:ind w:left="0" w:right="0" w:hanging="0"/>
        <w:jc w:val="both"/>
        <w:rPr>
          <w:rFonts w:ascii="Garamond" w:hAnsi="Garamond" w:cs="Garamond"/>
          <w:bCs/>
        </w:rPr>
      </w:pPr>
      <w:r>
        <w:rPr>
          <w:rFonts w:cs="Garamond" w:ascii="Garamond" w:hAnsi="Garamond"/>
          <w:bCs/>
        </w:rPr>
      </w:r>
    </w:p>
    <w:p>
      <w:pPr>
        <w:pStyle w:val="Standard"/>
        <w:bidi w:val="0"/>
        <w:spacing w:lineRule="auto" w:line="276"/>
        <w:ind w:left="0" w:right="0" w:hanging="0"/>
        <w:jc w:val="both"/>
        <w:rPr/>
      </w:pPr>
      <w:r>
        <w:rPr>
          <w:rFonts w:cs="Garamond" w:ascii="Garamond" w:hAnsi="Garamond"/>
          <w:bCs/>
        </w:rPr>
        <w:tab/>
        <w:t xml:space="preserve">Segundo o referido ofício, o primeiro </w:t>
      </w:r>
      <w:bookmarkStart w:id="0" w:name="__DdeLink__98_146075783"/>
      <w:r>
        <w:rPr>
          <w:rFonts w:cs="Garamond" w:ascii="Garamond" w:hAnsi="Garamond"/>
          <w:bCs/>
        </w:rPr>
        <w:t>requerimento</w:t>
      </w:r>
      <w:bookmarkEnd w:id="0"/>
      <w:r>
        <w:rPr>
          <w:rFonts w:cs="Garamond" w:ascii="Garamond" w:hAnsi="Garamond"/>
          <w:bCs/>
        </w:rPr>
        <w:t xml:space="preserve"> apresenta como argumento para demolição o estado precário de conservação do imóvel, a impossibilidade financeira para sua recuperação e o uso indevido, que traz insegurança aos vizinhos e pedestres que transitam na área. Já no segundo requerimento, a Sra. Maria Helena Rodrigues de Brito e o Sr. Jander Higino de Brito, requereram a resposta sobre a autorização para demolição do imóvel, tendo em vista a entrega de laudo técnico para análise no dia 24/07/2018 e a existência de um comprador para a edificação. </w:t>
      </w:r>
    </w:p>
    <w:p>
      <w:pPr>
        <w:pStyle w:val="Standard"/>
        <w:bidi w:val="0"/>
        <w:spacing w:lineRule="auto" w:line="276"/>
        <w:ind w:left="0" w:right="0" w:hanging="0"/>
        <w:jc w:val="both"/>
        <w:rPr>
          <w:rFonts w:ascii="Garamond" w:hAnsi="Garamond" w:cs="Garamond"/>
          <w:bCs/>
        </w:rPr>
      </w:pPr>
      <w:r>
        <w:rPr>
          <w:rFonts w:cs="Garamond" w:ascii="Garamond" w:hAnsi="Garamond"/>
          <w:bCs/>
        </w:rPr>
      </w:r>
    </w:p>
    <w:p>
      <w:pPr>
        <w:pStyle w:val="Standard"/>
        <w:bidi w:val="0"/>
        <w:spacing w:lineRule="auto" w:line="276"/>
        <w:ind w:left="0" w:right="0" w:hanging="0"/>
        <w:jc w:val="both"/>
        <w:rPr/>
      </w:pPr>
      <w:r>
        <w:rPr>
          <w:rFonts w:cs="Garamond" w:ascii="Garamond" w:hAnsi="Garamond"/>
          <w:bCs/>
        </w:rPr>
        <w:tab/>
        <w:t xml:space="preserve">O ofício informou também que em 22/11/2018 foi realizada uma audiência pública para tratar da questão da demolição do imóvel. Informou ainda que em reunião realizada no dia 05/04/2019 o COMPAC deliberou por maioria absoluta pela não demolição da edificação, tendo em vista o significado histórico da construção para o bairro e o município como um todo. </w:t>
      </w:r>
    </w:p>
    <w:p>
      <w:pPr>
        <w:pStyle w:val="Standard"/>
        <w:bidi w:val="0"/>
        <w:spacing w:lineRule="auto" w:line="276"/>
        <w:ind w:left="0" w:right="0" w:hanging="0"/>
        <w:jc w:val="both"/>
        <w:rPr/>
      </w:pPr>
      <w:r>
        <w:rPr/>
      </w:r>
    </w:p>
    <w:p>
      <w:pPr>
        <w:pStyle w:val="Standard"/>
        <w:bidi w:val="0"/>
        <w:spacing w:lineRule="auto" w:line="276"/>
        <w:ind w:left="0" w:right="0" w:hanging="0"/>
        <w:jc w:val="both"/>
        <w:rPr/>
      </w:pPr>
      <w:r>
        <w:rPr/>
      </w:r>
    </w:p>
    <w:p>
      <w:pPr>
        <w:pStyle w:val="Standard"/>
        <w:bidi w:val="0"/>
        <w:spacing w:lineRule="auto" w:line="276"/>
        <w:ind w:left="0" w:right="0" w:hanging="0"/>
        <w:jc w:val="left"/>
        <w:rPr/>
      </w:pPr>
      <w:r>
        <w:rPr/>
      </w:r>
    </w:p>
    <w:p>
      <w:pPr>
        <w:pStyle w:val="Standard"/>
        <w:bidi w:val="0"/>
        <w:spacing w:lineRule="auto" w:line="276"/>
        <w:ind w:left="0" w:right="0" w:hanging="0"/>
        <w:jc w:val="left"/>
        <w:rPr/>
      </w:pPr>
      <w:r>
        <w:rPr/>
      </w:r>
    </w:p>
    <w:p>
      <w:pPr>
        <w:pStyle w:val="Standard"/>
        <w:bidi w:val="0"/>
        <w:spacing w:lineRule="auto" w:line="276"/>
        <w:ind w:left="0" w:right="0" w:hanging="0"/>
        <w:jc w:val="both"/>
        <w:rPr/>
      </w:pPr>
      <w:r>
        <w:rPr>
          <w:rFonts w:ascii="Garamond" w:hAnsi="Garamond"/>
        </w:rPr>
        <w:tab/>
        <w:t xml:space="preserve">Anexos ao ofício, o COMPAC apresentou os seguintes documentos: ficha de inventário da edificação, cópias dos requerimentos de demolição e laudo técnico apresentado pelos proprietários. </w:t>
      </w:r>
    </w:p>
    <w:p>
      <w:pPr>
        <w:pStyle w:val="Standard"/>
        <w:spacing w:lineRule="auto" w:line="276"/>
        <w:ind w:right="68" w:hanging="0"/>
        <w:jc w:val="both"/>
        <w:rPr>
          <w:rFonts w:ascii="Garamond" w:hAnsi="Garamond" w:cs="Garamond"/>
        </w:rPr>
      </w:pPr>
      <w:r>
        <w:rPr>
          <w:rFonts w:cs="Garamond" w:ascii="Garamond" w:hAnsi="Garamond"/>
        </w:rPr>
      </w:r>
    </w:p>
    <w:p>
      <w:pPr>
        <w:pStyle w:val="Standard"/>
        <w:numPr>
          <w:ilvl w:val="0"/>
          <w:numId w:val="1"/>
        </w:numPr>
        <w:spacing w:lineRule="auto" w:line="276"/>
        <w:jc w:val="both"/>
        <w:rPr/>
      </w:pPr>
      <w:r>
        <w:rPr>
          <w:rFonts w:cs="Garamond" w:ascii="Garamond" w:hAnsi="Garamond"/>
          <w:b/>
          <w:bCs/>
        </w:rPr>
        <w:t>Análise técnica:</w:t>
      </w:r>
    </w:p>
    <w:p>
      <w:pPr>
        <w:pStyle w:val="Standard"/>
        <w:spacing w:lineRule="auto" w:line="276"/>
        <w:jc w:val="both"/>
        <w:rPr>
          <w:rFonts w:ascii="Garamond" w:hAnsi="Garamond" w:cs="Garamond"/>
          <w:b/>
          <w:b/>
          <w:bCs/>
        </w:rPr>
      </w:pPr>
      <w:r>
        <w:rPr>
          <w:rFonts w:cs="Garamond" w:ascii="Garamond" w:hAnsi="Garamond"/>
          <w:b/>
          <w:bCs/>
        </w:rPr>
      </w:r>
    </w:p>
    <w:p>
      <w:pPr>
        <w:pStyle w:val="Standard"/>
        <w:spacing w:lineRule="auto" w:line="276"/>
        <w:jc w:val="both"/>
        <w:rPr/>
      </w:pPr>
      <w:r>
        <w:rPr>
          <w:rFonts w:cs="Garamond" w:ascii="Garamond" w:hAnsi="Garamond"/>
          <w:b/>
          <w:bCs/>
        </w:rPr>
        <w:t xml:space="preserve">     </w:t>
      </w:r>
      <w:r>
        <w:rPr>
          <w:rFonts w:cs="Garamond" w:ascii="Garamond" w:hAnsi="Garamond"/>
          <w:b/>
          <w:bCs/>
        </w:rPr>
        <w:t>7.1- Dos documentos constantes nos autos:</w:t>
      </w:r>
    </w:p>
    <w:p>
      <w:pPr>
        <w:pStyle w:val="Standard"/>
        <w:spacing w:lineRule="auto" w:line="276"/>
        <w:jc w:val="both"/>
        <w:rPr>
          <w:rFonts w:ascii="Garamond" w:hAnsi="Garamond" w:cs="Garamond"/>
          <w:b/>
          <w:b/>
          <w:bCs/>
        </w:rPr>
      </w:pPr>
      <w:r>
        <w:rPr>
          <w:rFonts w:cs="Garamond" w:ascii="Garamond" w:hAnsi="Garamond"/>
          <w:b/>
          <w:bCs/>
        </w:rPr>
      </w:r>
    </w:p>
    <w:p>
      <w:pPr>
        <w:pStyle w:val="Standard"/>
        <w:bidi w:val="0"/>
        <w:spacing w:lineRule="auto" w:line="276"/>
        <w:ind w:left="0" w:right="0" w:hanging="0"/>
        <w:jc w:val="both"/>
        <w:rPr/>
      </w:pPr>
      <w:r>
        <w:rPr>
          <w:rFonts w:cs="Garamond" w:ascii="Garamond" w:hAnsi="Garamond"/>
          <w:bCs/>
        </w:rPr>
        <w:tab/>
      </w:r>
      <w:bookmarkStart w:id="1" w:name="_GoBack"/>
      <w:bookmarkEnd w:id="1"/>
      <w:r>
        <w:rPr>
          <w:rFonts w:cs="Garamond" w:ascii="Garamond" w:hAnsi="Garamond"/>
          <w:bCs/>
        </w:rPr>
        <w:t xml:space="preserve">De acordo com a ficha de inventário, elaborada pelo município de Formiga, em 2009/exercício 2010 do Programa ICMS Cultural, a edificação à Rua Coronel Manoel Justino Nunes, S/nº- bairro Centenário, corresponde à antiga sede da Fazenda Boa Vista, construída no final do século XIX por José Inácio da Silva, servindo de moradia para sua família até a década de 1920, quando foi vendida ao Dr. Vicente Ferreira, que também residiu na fazenda durante muitos anos com sua família. </w:t>
      </w:r>
    </w:p>
    <w:p>
      <w:pPr>
        <w:pStyle w:val="Standard"/>
        <w:bidi w:val="0"/>
        <w:spacing w:lineRule="auto" w:line="276"/>
        <w:ind w:left="0" w:right="0" w:hanging="0"/>
        <w:jc w:val="both"/>
        <w:rPr>
          <w:rFonts w:ascii="Garamond" w:hAnsi="Garamond" w:cs="Garamond"/>
          <w:bCs/>
        </w:rPr>
      </w:pPr>
      <w:r>
        <w:rPr>
          <w:rFonts w:cs="Garamond" w:ascii="Garamond" w:hAnsi="Garamond"/>
          <w:bCs/>
        </w:rPr>
      </w:r>
    </w:p>
    <w:p>
      <w:pPr>
        <w:pStyle w:val="Standard"/>
        <w:bidi w:val="0"/>
        <w:spacing w:lineRule="auto" w:line="276"/>
        <w:ind w:left="0" w:right="0" w:hanging="0"/>
        <w:jc w:val="both"/>
        <w:rPr/>
      </w:pPr>
      <w:r>
        <w:rPr>
          <w:rFonts w:cs="Garamond" w:ascii="Garamond" w:hAnsi="Garamond"/>
          <w:bCs/>
        </w:rPr>
        <w:tab/>
        <w:t xml:space="preserve">Na década de 1940, a edificação foi adquirida por Francisco Rodrigues Nunes e como estava em mau estado de conservação, necessitando de grandes intervenções, a antiga sede acabou sendo demolida. Em 1944, foi construída uma nova edificação no local. Em 1946, uma varanda foi construída na fachada principal, juntamente com uma grande escadaria. </w:t>
      </w:r>
    </w:p>
    <w:p>
      <w:pPr>
        <w:pStyle w:val="Standard"/>
        <w:bidi w:val="0"/>
        <w:spacing w:lineRule="auto" w:line="276"/>
        <w:ind w:left="0" w:right="0" w:hanging="0"/>
        <w:jc w:val="both"/>
        <w:rPr>
          <w:rFonts w:ascii="Garamond" w:hAnsi="Garamond" w:cs="Garamond"/>
          <w:bCs/>
        </w:rPr>
      </w:pPr>
      <w:r>
        <w:rPr>
          <w:rFonts w:cs="Garamond" w:ascii="Garamond" w:hAnsi="Garamond"/>
          <w:bCs/>
        </w:rPr>
      </w:r>
    </w:p>
    <w:p>
      <w:pPr>
        <w:pStyle w:val="Standard"/>
        <w:bidi w:val="0"/>
        <w:spacing w:lineRule="auto" w:line="276"/>
        <w:ind w:left="0" w:right="0" w:hanging="0"/>
        <w:jc w:val="both"/>
        <w:rPr/>
      </w:pPr>
      <w:r>
        <w:rPr>
          <w:rFonts w:cs="Garamond" w:ascii="Garamond" w:hAnsi="Garamond"/>
          <w:bCs/>
        </w:rPr>
        <w:tab/>
        <w:t xml:space="preserve">Em 1957, a fazenda foi vendida para Antônio Rodrigues da Costa que residiu na propriedade por quase meio século, dedicando-se à criação de gado bovino. Neste período, a fazenda passou por obras de manutenção, incluindo a divisão do salão principal em quartos. </w:t>
      </w:r>
    </w:p>
    <w:p>
      <w:pPr>
        <w:pStyle w:val="Standard"/>
        <w:bidi w:val="0"/>
        <w:spacing w:lineRule="auto" w:line="276"/>
        <w:ind w:left="0" w:right="0" w:hanging="0"/>
        <w:jc w:val="both"/>
        <w:rPr>
          <w:rFonts w:ascii="Garamond" w:hAnsi="Garamond" w:cs="Garamond"/>
          <w:bCs/>
        </w:rPr>
      </w:pPr>
      <w:r>
        <w:rPr>
          <w:rFonts w:cs="Garamond" w:ascii="Garamond" w:hAnsi="Garamond"/>
          <w:bCs/>
        </w:rPr>
      </w:r>
    </w:p>
    <w:p>
      <w:pPr>
        <w:pStyle w:val="Standard"/>
        <w:bidi w:val="0"/>
        <w:spacing w:lineRule="auto" w:line="276"/>
        <w:ind w:left="0" w:right="0" w:hanging="0"/>
        <w:jc w:val="both"/>
        <w:rPr/>
      </w:pPr>
      <w:r>
        <w:rPr>
          <w:rFonts w:cs="Garamond" w:ascii="Garamond" w:hAnsi="Garamond"/>
          <w:bCs/>
        </w:rPr>
        <w:tab/>
        <w:t xml:space="preserve">Em 2002, Antônio Rodrigues da Costa e sua família se mudaram da fazenda e alugaram a edificação para a Polícia Civil, que nela instalou a 4ª Delegacia Regional de Segurança Pública. Na época do inventário a edificação tinha como responsável o então delegado de polícia civil. </w:t>
      </w:r>
    </w:p>
    <w:p>
      <w:pPr>
        <w:pStyle w:val="Standard"/>
        <w:bidi w:val="0"/>
        <w:spacing w:lineRule="auto" w:line="276"/>
        <w:ind w:left="0" w:right="0" w:hanging="0"/>
        <w:jc w:val="both"/>
        <w:rPr>
          <w:rFonts w:ascii="Garamond" w:hAnsi="Garamond" w:cs="Garamond"/>
          <w:bCs/>
        </w:rPr>
      </w:pPr>
      <w:r>
        <w:rPr>
          <w:rFonts w:cs="Garamond" w:ascii="Garamond" w:hAnsi="Garamond"/>
          <w:bCs/>
        </w:rPr>
      </w:r>
    </w:p>
    <w:p>
      <w:pPr>
        <w:pStyle w:val="Standard"/>
        <w:bidi w:val="0"/>
        <w:spacing w:lineRule="auto" w:line="276"/>
        <w:ind w:left="0" w:right="0" w:hanging="0"/>
        <w:jc w:val="both"/>
        <w:rPr/>
      </w:pPr>
      <w:r>
        <w:rPr>
          <w:rFonts w:cs="Garamond" w:ascii="Garamond" w:hAnsi="Garamond"/>
          <w:bCs/>
        </w:rPr>
        <w:tab/>
        <w:t xml:space="preserve">A edificação apresenta partido quadrado em seu bloco principal e volumetria vertical com dois pavimentos, estando implantada em terreno plano e fechado por muro. Possui um prolongado posterior, que muda o partido, formando um “T”. Possui afastamentos frontal e lateral esquerdo. Possui grande área permeável com árvores de médio e grande porte que geram áreas sombreadas. A fachada do bloco principal no segundo pavimento possui seis vãos, sendo quatro janelas e duas portas. As esquadrias são em madeira e vidro. Todos os vãos possuem vergas retas e enquadramento em argamassa. No primeiro pavimento os vãos corresponde aos do pavimento superior, exceto o vão da entrada principal de acesso ao segundo pavimento. </w:t>
      </w:r>
    </w:p>
    <w:p>
      <w:pPr>
        <w:pStyle w:val="Standard"/>
        <w:bidi w:val="0"/>
        <w:spacing w:lineRule="auto" w:line="276"/>
        <w:ind w:left="0" w:right="0" w:hanging="0"/>
        <w:jc w:val="both"/>
        <w:rPr>
          <w:rFonts w:ascii="Garamond" w:hAnsi="Garamond" w:cs="Garamond"/>
          <w:bCs/>
        </w:rPr>
      </w:pPr>
      <w:r>
        <w:rPr>
          <w:rFonts w:cs="Garamond" w:ascii="Garamond" w:hAnsi="Garamond"/>
          <w:bCs/>
        </w:rPr>
      </w:r>
    </w:p>
    <w:p>
      <w:pPr>
        <w:pStyle w:val="Standard"/>
        <w:bidi w:val="0"/>
        <w:spacing w:lineRule="auto" w:line="276"/>
        <w:ind w:left="0" w:right="0" w:hanging="0"/>
        <w:jc w:val="both"/>
        <w:rPr>
          <w:rFonts w:ascii="Garamond" w:hAnsi="Garamond" w:cs="Garamond"/>
          <w:bCs/>
        </w:rPr>
      </w:pPr>
      <w:r>
        <w:rPr>
          <w:rFonts w:cs="Garamond" w:ascii="Garamond" w:hAnsi="Garamond"/>
          <w:bCs/>
        </w:rPr>
      </w:r>
    </w:p>
    <w:p>
      <w:pPr>
        <w:pStyle w:val="Standard"/>
        <w:bidi w:val="0"/>
        <w:spacing w:lineRule="auto" w:line="276"/>
        <w:ind w:left="0" w:right="0" w:hanging="0"/>
        <w:jc w:val="both"/>
        <w:rPr>
          <w:rFonts w:ascii="Garamond" w:hAnsi="Garamond" w:cs="Garamond"/>
          <w:bCs/>
        </w:rPr>
      </w:pPr>
      <w:r>
        <w:rPr>
          <w:rFonts w:cs="Garamond" w:ascii="Garamond" w:hAnsi="Garamond"/>
          <w:bCs/>
        </w:rPr>
      </w:r>
    </w:p>
    <w:p>
      <w:pPr>
        <w:pStyle w:val="Standard"/>
        <w:bidi w:val="0"/>
        <w:spacing w:lineRule="auto" w:line="276"/>
        <w:ind w:left="0" w:right="0" w:hanging="0"/>
        <w:jc w:val="both"/>
        <w:rPr>
          <w:rFonts w:ascii="Garamond" w:hAnsi="Garamond" w:cs="Garamond"/>
          <w:bCs/>
        </w:rPr>
      </w:pPr>
      <w:r>
        <w:rPr>
          <w:rFonts w:cs="Garamond" w:ascii="Garamond" w:hAnsi="Garamond"/>
          <w:bCs/>
        </w:rPr>
      </w:r>
    </w:p>
    <w:tbl>
      <w:tblPr>
        <w:tblW w:w="8504" w:type="dxa"/>
        <w:jc w:val="left"/>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4252"/>
        <w:gridCol w:w="4251"/>
      </w:tblGrid>
      <w:tr>
        <w:trPr/>
        <w:tc>
          <w:tcPr>
            <w:tcW w:w="425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Contedodatabela"/>
              <w:jc w:val="left"/>
              <w:rPr/>
            </w:pPr>
            <w:r>
              <w:rPr/>
              <w:drawing>
                <wp:anchor behindDoc="0" distT="0" distB="0" distL="0" distR="0" simplePos="0" locked="0" layoutInCell="1" allowOverlap="1" relativeHeight="20">
                  <wp:simplePos x="0" y="0"/>
                  <wp:positionH relativeFrom="column">
                    <wp:posOffset>0</wp:posOffset>
                  </wp:positionH>
                  <wp:positionV relativeFrom="paragraph">
                    <wp:posOffset>27305</wp:posOffset>
                  </wp:positionV>
                  <wp:extent cx="2630170" cy="1905000"/>
                  <wp:effectExtent l="0" t="0" r="0" b="0"/>
                  <wp:wrapSquare wrapText="largest"/>
                  <wp:docPr id="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8" descr=""/>
                          <pic:cNvPicPr>
                            <a:picLocks noChangeAspect="1" noChangeArrowheads="1"/>
                          </pic:cNvPicPr>
                        </pic:nvPicPr>
                        <pic:blipFill>
                          <a:blip r:embed="rId2"/>
                          <a:srcRect l="0" t="0" r="0" b="3573"/>
                          <a:stretch>
                            <a:fillRect/>
                          </a:stretch>
                        </pic:blipFill>
                        <pic:spPr bwMode="auto">
                          <a:xfrm>
                            <a:off x="0" y="0"/>
                            <a:ext cx="2630170" cy="1905000"/>
                          </a:xfrm>
                          <a:prstGeom prst="rect">
                            <a:avLst/>
                          </a:prstGeom>
                        </pic:spPr>
                      </pic:pic>
                    </a:graphicData>
                  </a:graphic>
                </wp:anchor>
              </w:drawing>
            </w:r>
          </w:p>
        </w:tc>
        <w:tc>
          <w:tcPr>
            <w:tcW w:w="425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rPr/>
            </w:pPr>
            <w:r>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2630170" cy="1932305"/>
                  <wp:effectExtent l="0" t="0" r="0" b="0"/>
                  <wp:wrapSquare wrapText="largest"/>
                  <wp:docPr id="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9" descr=""/>
                          <pic:cNvPicPr>
                            <a:picLocks noChangeAspect="1" noChangeArrowheads="1"/>
                          </pic:cNvPicPr>
                        </pic:nvPicPr>
                        <pic:blipFill>
                          <a:blip r:embed="rId3"/>
                          <a:srcRect l="0" t="0" r="0" b="2668"/>
                          <a:stretch>
                            <a:fillRect/>
                          </a:stretch>
                        </pic:blipFill>
                        <pic:spPr bwMode="auto">
                          <a:xfrm>
                            <a:off x="0" y="0"/>
                            <a:ext cx="2630170" cy="1932305"/>
                          </a:xfrm>
                          <a:prstGeom prst="rect">
                            <a:avLst/>
                          </a:prstGeom>
                        </pic:spPr>
                      </pic:pic>
                    </a:graphicData>
                  </a:graphic>
                </wp:anchor>
              </w:drawing>
            </w:r>
          </w:p>
        </w:tc>
      </w:tr>
      <w:tr>
        <w:trPr/>
        <w:tc>
          <w:tcPr>
            <w:tcW w:w="850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jc w:val="both"/>
              <w:rPr/>
            </w:pPr>
            <w:r>
              <w:rPr>
                <w:rFonts w:ascii="Garamond" w:hAnsi="Garamond"/>
                <w:sz w:val="22"/>
                <w:szCs w:val="22"/>
              </w:rPr>
              <w:t xml:space="preserve">Figuras 1 e 2- Imagens do imóvel </w:t>
            </w:r>
            <w:r>
              <w:rPr>
                <w:rFonts w:cs="Garamond" w:ascii="Garamond" w:hAnsi="Garamond"/>
                <w:bCs/>
                <w:sz w:val="22"/>
                <w:szCs w:val="22"/>
              </w:rPr>
              <w:t>situado na Rua Coronel Justino Nunes, nº 10, bairro Centenário, em Formiga. Fonte: Ficha de Inventário do bem cultural.</w:t>
            </w:r>
          </w:p>
        </w:tc>
      </w:tr>
    </w:tbl>
    <w:p>
      <w:pPr>
        <w:pStyle w:val="Standard"/>
        <w:bidi w:val="0"/>
        <w:spacing w:lineRule="auto" w:line="276"/>
        <w:ind w:left="0" w:right="0" w:hanging="0"/>
        <w:jc w:val="left"/>
        <w:rPr>
          <w:rFonts w:ascii="Garamond" w:hAnsi="Garamond" w:cs="Garamond"/>
          <w:bCs/>
        </w:rPr>
      </w:pPr>
      <w:r>
        <w:rPr>
          <w:rFonts w:cs="Garamond" w:ascii="Garamond" w:hAnsi="Garamond"/>
          <w:bCs/>
        </w:rPr>
      </w:r>
    </w:p>
    <w:p>
      <w:pPr>
        <w:pStyle w:val="Standard"/>
        <w:bidi w:val="0"/>
        <w:spacing w:lineRule="auto" w:line="276"/>
        <w:ind w:left="0" w:right="0" w:hanging="0"/>
        <w:jc w:val="both"/>
        <w:rPr/>
      </w:pPr>
      <w:r>
        <w:rPr>
          <w:rFonts w:cs="Garamond" w:ascii="Garamond" w:hAnsi="Garamond"/>
          <w:bCs/>
        </w:rPr>
        <w:tab/>
      </w:r>
      <w:r>
        <w:rPr>
          <w:rFonts w:cs="Garamond" w:ascii="Garamond" w:hAnsi="Garamond"/>
          <w:bCs/>
          <w:sz w:val="24"/>
          <w:szCs w:val="24"/>
        </w:rPr>
        <w:t>Ainda segundo informações da ficha de inventário, o imóvel em questão fica situado em uma região do município de Formiga que é passagem para o centro da cidade. Na imagem seguinte estão assinalados o  imóvel da Rua Coronel  Manoel Justino Nunes, nº 10, no bairro Centenário (à esquerda), e a Praça São Vicente Férrer (à direita), no Centro, em Formiga, evidenciando a localização geográfica dos bens culturais.</w:t>
      </w:r>
    </w:p>
    <w:p>
      <w:pPr>
        <w:pStyle w:val="Standard"/>
        <w:spacing w:lineRule="auto" w:line="276"/>
        <w:ind w:left="360" w:hanging="0"/>
        <w:jc w:val="right"/>
        <w:rPr>
          <w:rFonts w:ascii="Garamond" w:hAnsi="Garamond" w:cs="Garamond"/>
          <w:bCs/>
        </w:rPr>
      </w:pPr>
      <w:r>
        <w:rPr>
          <w:rFonts w:cs="Garamond" w:ascii="Garamond" w:hAnsi="Garamond"/>
          <w:bCs/>
        </w:rPr>
      </w:r>
    </w:p>
    <w:tbl>
      <w:tblPr>
        <w:tblW w:w="8504" w:type="dxa"/>
        <w:jc w:val="left"/>
        <w:tblInd w:w="4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5" w:type="dxa"/>
          <w:bottom w:w="55" w:type="dxa"/>
          <w:right w:w="55" w:type="dxa"/>
        </w:tblCellMar>
      </w:tblPr>
      <w:tblGrid>
        <w:gridCol w:w="8504"/>
      </w:tblGrid>
      <w:tr>
        <w:trPr/>
        <w:tc>
          <w:tcPr>
            <w:tcW w:w="8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center"/>
              <w:rPr/>
            </w:pPr>
            <w:r>
              <w:rPr/>
              <mc:AlternateContent>
                <mc:Choice Requires="wps">
                  <w:drawing>
                    <wp:anchor behindDoc="0" distT="0" distB="0" distL="0" distR="0" simplePos="0" locked="0" layoutInCell="1" allowOverlap="1" relativeHeight="12">
                      <wp:simplePos x="0" y="0"/>
                      <wp:positionH relativeFrom="column">
                        <wp:posOffset>653415</wp:posOffset>
                      </wp:positionH>
                      <wp:positionV relativeFrom="paragraph">
                        <wp:posOffset>-1567815</wp:posOffset>
                      </wp:positionV>
                      <wp:extent cx="391160" cy="383540"/>
                      <wp:effectExtent l="0" t="0" r="0" b="0"/>
                      <wp:wrapNone/>
                      <wp:docPr id="3" name="Forma1"/>
                      <a:graphic xmlns:a="http://schemas.openxmlformats.org/drawingml/2006/main">
                        <a:graphicData uri="http://schemas.microsoft.com/office/word/2010/wordprocessingShape">
                          <wps:wsp>
                            <wps:cNvSpPr/>
                            <wps:spPr>
                              <a:xfrm>
                                <a:off x="0" y="0"/>
                                <a:ext cx="390600" cy="383040"/>
                              </a:xfrm>
                              <a:custGeom>
                                <a:avLst/>
                                <a:gdLst/>
                                <a:ahLst/>
                                <a:rect l="l" t="t" r="r" b="b"/>
                                <a:pathLst>
                                  <a:path w="613" h="602">
                                    <a:moveTo>
                                      <a:pt x="100" y="0"/>
                                    </a:moveTo>
                                    <a:cubicBezTo>
                                      <a:pt x="50" y="0"/>
                                      <a:pt x="0" y="50"/>
                                      <a:pt x="0" y="100"/>
                                    </a:cubicBezTo>
                                    <a:lnTo>
                                      <a:pt x="0" y="500"/>
                                    </a:lnTo>
                                    <a:cubicBezTo>
                                      <a:pt x="0" y="550"/>
                                      <a:pt x="50" y="601"/>
                                      <a:pt x="100" y="601"/>
                                    </a:cubicBezTo>
                                    <a:lnTo>
                                      <a:pt x="512" y="601"/>
                                    </a:lnTo>
                                    <a:cubicBezTo>
                                      <a:pt x="562" y="601"/>
                                      <a:pt x="612" y="550"/>
                                      <a:pt x="612" y="500"/>
                                    </a:cubicBezTo>
                                    <a:lnTo>
                                      <a:pt x="612" y="100"/>
                                    </a:lnTo>
                                    <a:cubicBezTo>
                                      <a:pt x="612" y="50"/>
                                      <a:pt x="562" y="0"/>
                                      <a:pt x="512" y="0"/>
                                    </a:cubicBezTo>
                                    <a:lnTo>
                                      <a:pt x="100" y="0"/>
                                    </a:lnTo>
                                  </a:path>
                                </a:pathLst>
                              </a:custGeom>
                              <a:noFill/>
                              <a:ln>
                                <a:solidFill>
                                  <a:srgbClr val="3465a4"/>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3">
                      <wp:simplePos x="0" y="0"/>
                      <wp:positionH relativeFrom="column">
                        <wp:posOffset>4331970</wp:posOffset>
                      </wp:positionH>
                      <wp:positionV relativeFrom="paragraph">
                        <wp:posOffset>-2176145</wp:posOffset>
                      </wp:positionV>
                      <wp:extent cx="478790" cy="478790"/>
                      <wp:effectExtent l="0" t="0" r="0" b="0"/>
                      <wp:wrapNone/>
                      <wp:docPr id="4" name="Forma2"/>
                      <a:graphic xmlns:a="http://schemas.openxmlformats.org/drawingml/2006/main">
                        <a:graphicData uri="http://schemas.microsoft.com/office/word/2010/wordprocessingShape">
                          <wps:wsp>
                            <wps:cNvSpPr/>
                            <wps:spPr>
                              <a:xfrm>
                                <a:off x="0" y="0"/>
                                <a:ext cx="478080" cy="478080"/>
                              </a:xfrm>
                              <a:custGeom>
                                <a:avLst/>
                                <a:gdLst/>
                                <a:ahLst/>
                                <a:rect l="l" t="t" r="r" b="b"/>
                                <a:pathLst>
                                  <a:path w="752" h="752">
                                    <a:moveTo>
                                      <a:pt x="125" y="0"/>
                                    </a:moveTo>
                                    <a:cubicBezTo>
                                      <a:pt x="62" y="0"/>
                                      <a:pt x="0" y="62"/>
                                      <a:pt x="0" y="125"/>
                                    </a:cubicBezTo>
                                    <a:lnTo>
                                      <a:pt x="0" y="625"/>
                                    </a:lnTo>
                                    <a:cubicBezTo>
                                      <a:pt x="0" y="688"/>
                                      <a:pt x="62" y="751"/>
                                      <a:pt x="125" y="751"/>
                                    </a:cubicBezTo>
                                    <a:lnTo>
                                      <a:pt x="625" y="751"/>
                                    </a:lnTo>
                                    <a:cubicBezTo>
                                      <a:pt x="688" y="751"/>
                                      <a:pt x="751" y="688"/>
                                      <a:pt x="751" y="625"/>
                                    </a:cubicBezTo>
                                    <a:lnTo>
                                      <a:pt x="751" y="125"/>
                                    </a:lnTo>
                                    <a:cubicBezTo>
                                      <a:pt x="751" y="62"/>
                                      <a:pt x="688" y="0"/>
                                      <a:pt x="625" y="0"/>
                                    </a:cubicBezTo>
                                    <a:lnTo>
                                      <a:pt x="125" y="0"/>
                                    </a:lnTo>
                                  </a:path>
                                </a:pathLst>
                              </a:custGeom>
                              <a:noFill/>
                              <a:ln>
                                <a:solidFill>
                                  <a:srgbClr val="3465a4"/>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4">
                      <wp:simplePos x="0" y="0"/>
                      <wp:positionH relativeFrom="column">
                        <wp:posOffset>4331970</wp:posOffset>
                      </wp:positionH>
                      <wp:positionV relativeFrom="paragraph">
                        <wp:posOffset>-2176145</wp:posOffset>
                      </wp:positionV>
                      <wp:extent cx="478790" cy="391160"/>
                      <wp:effectExtent l="0" t="0" r="0" b="0"/>
                      <wp:wrapNone/>
                      <wp:docPr id="5" name="Forma3"/>
                      <a:graphic xmlns:a="http://schemas.openxmlformats.org/drawingml/2006/main">
                        <a:graphicData uri="http://schemas.microsoft.com/office/word/2010/wordprocessingShape">
                          <wps:wsp>
                            <wps:cNvSpPr/>
                            <wps:spPr>
                              <a:xfrm>
                                <a:off x="0" y="0"/>
                                <a:ext cx="478080" cy="390600"/>
                              </a:xfrm>
                              <a:prstGeom prst="rect">
                                <a:avLst/>
                              </a:prstGeom>
                              <a:noFill/>
                              <a:ln w="36360">
                                <a:solidFill>
                                  <a:srgbClr val="000000"/>
                                </a:solidFill>
                                <a:round/>
                              </a:ln>
                            </wps:spPr>
                            <wps:style>
                              <a:lnRef idx="0"/>
                              <a:fillRef idx="0"/>
                              <a:effectRef idx="0"/>
                              <a:fontRef idx="minor"/>
                            </wps:style>
                            <wps:bodyPr/>
                          </wps:wsp>
                        </a:graphicData>
                      </a:graphic>
                    </wp:anchor>
                  </w:drawing>
                </mc:Choice>
                <mc:Fallback>
                  <w:pict>
                    <v:rect id="shape_0" ID="Forma3" stroked="t" style="position:absolute;margin-left:341.1pt;margin-top:-171.35pt;width:37.6pt;height:30.7pt">
                      <w10:wrap type="none"/>
                      <v:fill o:detectmouseclick="t" on="false"/>
                      <v:stroke color="black" weight="36360" joinstyle="round" endcap="flat"/>
                    </v:rect>
                  </w:pict>
                </mc:Fallback>
              </mc:AlternateContent>
              <mc:AlternateContent>
                <mc:Choice Requires="wps">
                  <w:drawing>
                    <wp:anchor behindDoc="0" distT="0" distB="0" distL="0" distR="0" simplePos="0" locked="0" layoutInCell="1" allowOverlap="1" relativeHeight="16">
                      <wp:simplePos x="0" y="0"/>
                      <wp:positionH relativeFrom="column">
                        <wp:posOffset>4375785</wp:posOffset>
                      </wp:positionH>
                      <wp:positionV relativeFrom="paragraph">
                        <wp:posOffset>-2131695</wp:posOffset>
                      </wp:positionV>
                      <wp:extent cx="434975" cy="346710"/>
                      <wp:effectExtent l="0" t="0" r="0" b="0"/>
                      <wp:wrapNone/>
                      <wp:docPr id="6" name="Forma4"/>
                      <a:graphic xmlns:a="http://schemas.openxmlformats.org/drawingml/2006/main">
                        <a:graphicData uri="http://schemas.microsoft.com/office/word/2010/wordprocessingShape">
                          <wps:wsp>
                            <wps:cNvSpPr/>
                            <wps:spPr>
                              <a:xfrm>
                                <a:off x="0" y="0"/>
                                <a:ext cx="434520" cy="345960"/>
                              </a:xfrm>
                              <a:prstGeom prst="rect">
                                <a:avLst/>
                              </a:prstGeom>
                              <a:noFill/>
                              <a:ln w="36360">
                                <a:solidFill>
                                  <a:srgbClr val="ff3333"/>
                                </a:solidFill>
                                <a:round/>
                              </a:ln>
                            </wps:spPr>
                            <wps:style>
                              <a:lnRef idx="0"/>
                              <a:fillRef idx="0"/>
                              <a:effectRef idx="0"/>
                              <a:fontRef idx="minor"/>
                            </wps:style>
                            <wps:bodyPr/>
                          </wps:wsp>
                        </a:graphicData>
                      </a:graphic>
                    </wp:anchor>
                  </w:drawing>
                </mc:Choice>
                <mc:Fallback>
                  <w:pict>
                    <v:rect id="shape_0" ID="Forma4" stroked="t" style="position:absolute;margin-left:344.55pt;margin-top:-167.85pt;width:34.15pt;height:27.2pt">
                      <w10:wrap type="none"/>
                      <v:fill o:detectmouseclick="t" on="false"/>
                      <v:stroke color="#ff3333" weight="36360" joinstyle="round" endcap="flat"/>
                    </v:rect>
                  </w:pict>
                </mc:Fallback>
              </mc:AlternateContent>
              <mc:AlternateContent>
                <mc:Choice Requires="wps">
                  <w:drawing>
                    <wp:anchor behindDoc="0" distT="0" distB="0" distL="0" distR="0" simplePos="0" locked="0" layoutInCell="1" allowOverlap="1" relativeHeight="17">
                      <wp:simplePos x="0" y="0"/>
                      <wp:positionH relativeFrom="column">
                        <wp:posOffset>653415</wp:posOffset>
                      </wp:positionH>
                      <wp:positionV relativeFrom="paragraph">
                        <wp:posOffset>-1608455</wp:posOffset>
                      </wp:positionV>
                      <wp:extent cx="441960" cy="376555"/>
                      <wp:effectExtent l="0" t="0" r="0" b="0"/>
                      <wp:wrapNone/>
                      <wp:docPr id="7" name="Forma5"/>
                      <a:graphic xmlns:a="http://schemas.openxmlformats.org/drawingml/2006/main">
                        <a:graphicData uri="http://schemas.microsoft.com/office/word/2010/wordprocessingShape">
                          <wps:wsp>
                            <wps:cNvSpPr/>
                            <wps:spPr>
                              <a:xfrm>
                                <a:off x="0" y="0"/>
                                <a:ext cx="441360" cy="375840"/>
                              </a:xfrm>
                              <a:prstGeom prst="ellipse">
                                <a:avLst/>
                              </a:prstGeom>
                              <a:noFill/>
                              <a:ln w="36360">
                                <a:solidFill>
                                  <a:srgbClr val="ff3333"/>
                                </a:solidFill>
                                <a:round/>
                              </a:ln>
                            </wps:spPr>
                            <wps:style>
                              <a:lnRef idx="0"/>
                              <a:fillRef idx="0"/>
                              <a:effectRef idx="0"/>
                              <a:fontRef idx="minor"/>
                            </wps:style>
                            <wps:bodyPr/>
                          </wps:wsp>
                        </a:graphicData>
                      </a:graphic>
                    </wp:anchor>
                  </w:drawing>
                </mc:Choice>
                <mc:Fallback>
                  <w:pict>
                    <v:oval id="shape_0" ID="Forma5" stroked="t" style="position:absolute;margin-left:51.45pt;margin-top:-126.65pt;width:34.7pt;height:29.55pt">
                      <w10:wrap type="none"/>
                      <v:fill o:detectmouseclick="t" on="false"/>
                      <v:stroke color="#ff3333" weight="36360" joinstyle="round" endcap="flat"/>
                    </v:oval>
                  </w:pict>
                </mc:Fallback>
              </mc:AlternateContent>
              <w:drawing>
                <wp:anchor behindDoc="0" distT="0" distB="0" distL="0" distR="0" simplePos="0" locked="0" layoutInCell="1" allowOverlap="1" relativeHeight="15">
                  <wp:simplePos x="0" y="0"/>
                  <wp:positionH relativeFrom="column">
                    <wp:posOffset>0</wp:posOffset>
                  </wp:positionH>
                  <wp:positionV relativeFrom="paragraph">
                    <wp:posOffset>12065</wp:posOffset>
                  </wp:positionV>
                  <wp:extent cx="5330190" cy="2665095"/>
                  <wp:effectExtent l="0" t="0" r="0" b="0"/>
                  <wp:wrapSquare wrapText="largest"/>
                  <wp:docPr id="8"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1" descr=""/>
                          <pic:cNvPicPr>
                            <a:picLocks noChangeAspect="1" noChangeArrowheads="1"/>
                          </pic:cNvPicPr>
                        </pic:nvPicPr>
                        <pic:blipFill>
                          <a:blip r:embed="rId4"/>
                          <a:stretch>
                            <a:fillRect/>
                          </a:stretch>
                        </pic:blipFill>
                        <pic:spPr bwMode="auto">
                          <a:xfrm>
                            <a:off x="0" y="0"/>
                            <a:ext cx="5330190" cy="2665095"/>
                          </a:xfrm>
                          <a:prstGeom prst="rect">
                            <a:avLst/>
                          </a:prstGeom>
                        </pic:spPr>
                      </pic:pic>
                    </a:graphicData>
                  </a:graphic>
                </wp:anchor>
              </w:drawing>
            </w:r>
          </w:p>
        </w:tc>
      </w:tr>
      <w:tr>
        <w:trPr/>
        <w:tc>
          <w:tcPr>
            <w:tcW w:w="8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right"/>
              <w:rPr/>
            </w:pPr>
            <w:r>
              <w:rPr/>
              <mc:AlternateContent>
                <mc:Choice Requires="wps">
                  <w:drawing>
                    <wp:anchor behindDoc="0" distT="0" distB="0" distL="0" distR="0" simplePos="0" locked="0" layoutInCell="1" allowOverlap="1" relativeHeight="19">
                      <wp:simplePos x="0" y="0"/>
                      <wp:positionH relativeFrom="column">
                        <wp:posOffset>1356995</wp:posOffset>
                      </wp:positionH>
                      <wp:positionV relativeFrom="paragraph">
                        <wp:posOffset>-2153920</wp:posOffset>
                      </wp:positionV>
                      <wp:extent cx="1248410" cy="1259205"/>
                      <wp:effectExtent l="0" t="0" r="0" b="0"/>
                      <wp:wrapNone/>
                      <wp:docPr id="9" name="Forma6"/>
                      <a:graphic xmlns:a="http://schemas.openxmlformats.org/drawingml/2006/main">
                        <a:graphicData uri="http://schemas.microsoft.com/office/word/2010/wordprocessingShape">
                          <wps:wsp>
                            <wps:cNvSpPr/>
                            <wps:spPr>
                              <a:xfrm>
                                <a:off x="0" y="0"/>
                                <a:ext cx="1247760" cy="1258560"/>
                              </a:xfrm>
                              <a:prstGeom prst="ellipse">
                                <a:avLst/>
                              </a:prstGeom>
                              <a:noFill/>
                              <a:ln w="36360">
                                <a:solidFill>
                                  <a:srgbClr val="ff3333"/>
                                </a:solidFill>
                                <a:round/>
                              </a:ln>
                            </wps:spPr>
                            <wps:style>
                              <a:lnRef idx="0"/>
                              <a:fillRef idx="0"/>
                              <a:effectRef idx="0"/>
                              <a:fontRef idx="minor"/>
                            </wps:style>
                            <wps:bodyPr/>
                          </wps:wsp>
                        </a:graphicData>
                      </a:graphic>
                    </wp:anchor>
                  </w:drawing>
                </mc:Choice>
                <mc:Fallback>
                  <w:pict>
                    <v:oval id="shape_0" ID="Forma6" stroked="t" style="position:absolute;margin-left:106.85pt;margin-top:-169.6pt;width:98.2pt;height:99.05pt">
                      <w10:wrap type="none"/>
                      <v:fill o:detectmouseclick="t" on="false"/>
                      <v:stroke color="#ff3333" weight="36360" joinstyle="round" endcap="flat"/>
                    </v:oval>
                  </w:pict>
                </mc:Fallback>
              </mc:AlternateContent>
              <w:drawing>
                <wp:anchor behindDoc="0" distT="0" distB="0" distL="0" distR="0" simplePos="0" locked="0" layoutInCell="1" allowOverlap="1" relativeHeight="18">
                  <wp:simplePos x="0" y="0"/>
                  <wp:positionH relativeFrom="column">
                    <wp:posOffset>0</wp:posOffset>
                  </wp:positionH>
                  <wp:positionV relativeFrom="paragraph">
                    <wp:posOffset>55880</wp:posOffset>
                  </wp:positionV>
                  <wp:extent cx="5330190" cy="3011805"/>
                  <wp:effectExtent l="0" t="0" r="0" b="0"/>
                  <wp:wrapSquare wrapText="largest"/>
                  <wp:docPr id="10"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2" descr=""/>
                          <pic:cNvPicPr>
                            <a:picLocks noChangeAspect="1" noChangeArrowheads="1"/>
                          </pic:cNvPicPr>
                        </pic:nvPicPr>
                        <pic:blipFill>
                          <a:blip r:embed="rId5"/>
                          <a:stretch>
                            <a:fillRect/>
                          </a:stretch>
                        </pic:blipFill>
                        <pic:spPr bwMode="auto">
                          <a:xfrm>
                            <a:off x="0" y="0"/>
                            <a:ext cx="5330190" cy="3011805"/>
                          </a:xfrm>
                          <a:prstGeom prst="rect">
                            <a:avLst/>
                          </a:prstGeom>
                        </pic:spPr>
                      </pic:pic>
                    </a:graphicData>
                  </a:graphic>
                </wp:anchor>
              </w:drawing>
            </w:r>
          </w:p>
        </w:tc>
      </w:tr>
      <w:tr>
        <w:trPr/>
        <w:tc>
          <w:tcPr>
            <w:tcW w:w="8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both"/>
              <w:rPr>
                <w:sz w:val="22"/>
                <w:szCs w:val="22"/>
              </w:rPr>
            </w:pPr>
            <w:r>
              <w:rPr>
                <w:rFonts w:ascii="Garamond" w:hAnsi="Garamond"/>
                <w:sz w:val="22"/>
                <w:szCs w:val="22"/>
              </w:rPr>
              <w:t xml:space="preserve">Figuras 3 e 4- Na 1ª imagem, assinalados o </w:t>
            </w:r>
            <w:bookmarkStart w:id="2" w:name="__DdeLink__227_98919767"/>
            <w:r>
              <w:rPr>
                <w:rFonts w:ascii="Garamond" w:hAnsi="Garamond"/>
                <w:sz w:val="22"/>
                <w:szCs w:val="22"/>
              </w:rPr>
              <w:t xml:space="preserve"> imóvel da Rua Coronel  </w:t>
            </w:r>
            <w:r>
              <w:rPr>
                <w:rFonts w:cs="Garamond" w:ascii="Garamond" w:hAnsi="Garamond"/>
                <w:bCs/>
                <w:sz w:val="22"/>
                <w:szCs w:val="22"/>
              </w:rPr>
              <w:t>Manoel Justino Nunes, nº 10, no bairro Centenário, e a Praça São Vicente Férrer, no Centro, em Formiga.</w:t>
            </w:r>
            <w:bookmarkEnd w:id="2"/>
            <w:r>
              <w:rPr>
                <w:rFonts w:cs="Garamond" w:ascii="Garamond" w:hAnsi="Garamond"/>
                <w:bCs/>
                <w:sz w:val="22"/>
                <w:szCs w:val="22"/>
              </w:rPr>
              <w:t xml:space="preserve"> Na 2ª imagem, assinalado apenas o referido imóvel, evidenciando sua implantação em um terreno de significativas dimensões. Fonte: </w:t>
            </w:r>
            <w:r>
              <w:rPr>
                <w:rFonts w:cs="Garamond" w:ascii="Garamond" w:hAnsi="Garamond"/>
                <w:b w:val="false"/>
                <w:bCs w:val="false"/>
                <w:sz w:val="22"/>
                <w:szCs w:val="22"/>
              </w:rPr>
              <w:t>Google Earth – Imagem de 14/10/2019 – Acesso em 09/01/2020</w:t>
            </w:r>
            <w:r>
              <w:rPr>
                <w:rFonts w:ascii="Garamond" w:hAnsi="Garamond"/>
                <w:b w:val="false"/>
                <w:bCs w:val="false"/>
                <w:sz w:val="22"/>
                <w:szCs w:val="22"/>
              </w:rPr>
              <w:t>.</w:t>
            </w:r>
          </w:p>
        </w:tc>
      </w:tr>
    </w:tbl>
    <w:p>
      <w:pPr>
        <w:pStyle w:val="Standard"/>
        <w:spacing w:lineRule="auto" w:line="276"/>
        <w:ind w:left="360" w:hanging="0"/>
        <w:jc w:val="both"/>
        <w:rPr>
          <w:rFonts w:ascii="Garamond" w:hAnsi="Garamond" w:cs="Garamond"/>
          <w:bCs/>
        </w:rPr>
      </w:pPr>
      <w:r>
        <w:rPr>
          <w:rFonts w:cs="Garamond" w:ascii="Garamond" w:hAnsi="Garamond"/>
          <w:bCs/>
        </w:rPr>
      </w:r>
    </w:p>
    <w:p>
      <w:pPr>
        <w:pStyle w:val="Standard"/>
        <w:bidi w:val="0"/>
        <w:spacing w:lineRule="auto" w:line="276"/>
        <w:ind w:left="0" w:right="0" w:hanging="0"/>
        <w:jc w:val="both"/>
        <w:rPr/>
      </w:pPr>
      <w:r>
        <w:rPr>
          <w:rFonts w:cs="Garamond" w:ascii="Garamond" w:hAnsi="Garamond"/>
          <w:bCs/>
        </w:rPr>
        <w:tab/>
        <w:t>Segundo Laudo Técnico, elaborado em 23 de julho de 2015 pela Quintiliano Engenharia e Consultoria, a sede residencial da antiga Fazenda Bela Vista, situad</w:t>
      </w:r>
      <w:r>
        <w:rPr>
          <w:rFonts w:cs="Garamond" w:ascii="Garamond" w:hAnsi="Garamond"/>
          <w:bCs/>
        </w:rPr>
        <w:t>a</w:t>
      </w:r>
      <w:r>
        <w:rPr>
          <w:rFonts w:cs="Garamond" w:ascii="Garamond" w:hAnsi="Garamond"/>
          <w:bCs/>
        </w:rPr>
        <w:t xml:space="preserve"> à Rua Manoel Justino Nunes, nº 10, é constituída de 02 pavimentos, com área total construída de 916, 04 m², conforme Cadastro Imobiliário Municipal. </w:t>
      </w:r>
    </w:p>
    <w:p>
      <w:pPr>
        <w:pStyle w:val="Standard"/>
        <w:bidi w:val="0"/>
        <w:spacing w:lineRule="auto" w:line="276"/>
        <w:ind w:left="0" w:right="0" w:hanging="0"/>
        <w:jc w:val="left"/>
        <w:rPr>
          <w:rFonts w:ascii="Garamond" w:hAnsi="Garamond" w:cs="Garamond"/>
          <w:bCs/>
        </w:rPr>
      </w:pPr>
      <w:r>
        <w:rPr>
          <w:rFonts w:cs="Garamond" w:ascii="Garamond" w:hAnsi="Garamond"/>
          <w:bCs/>
        </w:rPr>
      </w:r>
    </w:p>
    <w:p>
      <w:pPr>
        <w:pStyle w:val="Standard"/>
        <w:bidi w:val="0"/>
        <w:spacing w:lineRule="auto" w:line="276"/>
        <w:ind w:left="0" w:right="0" w:hanging="0"/>
        <w:jc w:val="both"/>
        <w:rPr/>
      </w:pPr>
      <w:r>
        <w:rPr>
          <w:rFonts w:cs="Garamond" w:ascii="Garamond" w:hAnsi="Garamond"/>
          <w:bCs/>
        </w:rPr>
        <w:tab/>
        <w:t>Relatou-se no referido laudo que o imóvel est</w:t>
      </w:r>
      <w:r>
        <w:rPr>
          <w:rFonts w:cs="Garamond" w:ascii="Garamond" w:hAnsi="Garamond"/>
          <w:bCs/>
        </w:rPr>
        <w:t>á</w:t>
      </w:r>
      <w:r>
        <w:rPr>
          <w:rFonts w:cs="Garamond" w:ascii="Garamond" w:hAnsi="Garamond"/>
          <w:bCs/>
        </w:rPr>
        <w:t xml:space="preserve"> sem nenhuma manutenção, tanto na parte de alvenaria, pintura, telhado, bem como na parte elétrica, com vários fios expostos. Argumentou-se que seria necessária uma reforma geral para que o imóvel fosse colocado à venda e que o proprietário não dispunha de recursos para sua realização. Diante disso, a demolição foi apontada como uma solução viável, na medida em que “com o terreno limpo sem construção se torna mais fácil de vendê-lo por inteiro ou parcelado, já que de acordo com a área total do terreno e conforme as normas de parcelamento do solo o mesmo poderá ser desmembrado em alguns lotes”. Argumentou-se ainda que a demolição se fazia necessária, no sentido de evitar a invasão do imóvel por vândalos e o avanço do processo de deterioração que pode, trazer prejuízos aos vizinhos, com a proliferação de mato, animais peçonhentos e lixo. Além disso, ressaltou-se que “sem a venda e ou aluguel, o proprietário terá que arcar com a limpeza constante do terreno, se não (</w:t>
      </w:r>
      <w:r>
        <w:rPr>
          <w:rFonts w:cs="Garamond" w:ascii="Garamond" w:hAnsi="Garamond"/>
          <w:bCs/>
          <w:i/>
          <w:iCs/>
        </w:rPr>
        <w:t>sic</w:t>
      </w:r>
      <w:r>
        <w:rPr>
          <w:rFonts w:cs="Garamond" w:ascii="Garamond" w:hAnsi="Garamond"/>
          <w:bCs/>
        </w:rPr>
        <w:t xml:space="preserve">) poderá ser multado pelos órgãos públicos competentes”. O laudo técnico traz um relatório fotográfico da edificação, bem como croqui de situação. </w:t>
      </w:r>
    </w:p>
    <w:p>
      <w:pPr>
        <w:pStyle w:val="Standard"/>
        <w:spacing w:lineRule="auto" w:line="276"/>
        <w:ind w:left="360" w:hanging="0"/>
        <w:jc w:val="both"/>
        <w:rPr>
          <w:rFonts w:ascii="Garamond" w:hAnsi="Garamond" w:cs="Garamond"/>
          <w:bCs/>
        </w:rPr>
      </w:pPr>
      <w:r>
        <w:rPr>
          <w:rFonts w:cs="Garamond" w:ascii="Garamond" w:hAnsi="Garamond"/>
          <w:bCs/>
        </w:rPr>
        <w:drawing>
          <wp:anchor behindDoc="0" distT="0" distB="0" distL="0" distR="0" simplePos="0" locked="0" layoutInCell="1" allowOverlap="1" relativeHeight="9">
            <wp:simplePos x="0" y="0"/>
            <wp:positionH relativeFrom="column">
              <wp:posOffset>34925</wp:posOffset>
            </wp:positionH>
            <wp:positionV relativeFrom="paragraph">
              <wp:posOffset>205105</wp:posOffset>
            </wp:positionV>
            <wp:extent cx="2630170" cy="1489710"/>
            <wp:effectExtent l="0" t="0" r="0" b="0"/>
            <wp:wrapSquare wrapText="largest"/>
            <wp:docPr id="11"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5" descr=""/>
                    <pic:cNvPicPr>
                      <a:picLocks noChangeAspect="1" noChangeArrowheads="1"/>
                    </pic:cNvPicPr>
                  </pic:nvPicPr>
                  <pic:blipFill>
                    <a:blip r:embed="rId6"/>
                    <a:srcRect l="0" t="7818" r="0" b="4731"/>
                    <a:stretch>
                      <a:fillRect/>
                    </a:stretch>
                  </pic:blipFill>
                  <pic:spPr bwMode="auto">
                    <a:xfrm>
                      <a:off x="0" y="0"/>
                      <a:ext cx="2630170" cy="1489710"/>
                    </a:xfrm>
                    <a:prstGeom prst="rect">
                      <a:avLst/>
                    </a:prstGeom>
                  </pic:spPr>
                </pic:pic>
              </a:graphicData>
            </a:graphic>
          </wp:anchor>
        </w:drawing>
        <w:drawing>
          <wp:anchor behindDoc="0" distT="0" distB="0" distL="0" distR="0" simplePos="0" locked="0" layoutInCell="1" allowOverlap="1" relativeHeight="10">
            <wp:simplePos x="0" y="0"/>
            <wp:positionH relativeFrom="column">
              <wp:posOffset>2734945</wp:posOffset>
            </wp:positionH>
            <wp:positionV relativeFrom="paragraph">
              <wp:posOffset>236220</wp:posOffset>
            </wp:positionV>
            <wp:extent cx="2630170" cy="1415415"/>
            <wp:effectExtent l="0" t="0" r="0" b="0"/>
            <wp:wrapSquare wrapText="largest"/>
            <wp:docPr id="12"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6" descr=""/>
                    <pic:cNvPicPr>
                      <a:picLocks noChangeAspect="1" noChangeArrowheads="1"/>
                    </pic:cNvPicPr>
                  </pic:nvPicPr>
                  <pic:blipFill>
                    <a:blip r:embed="rId7"/>
                    <a:stretch>
                      <a:fillRect/>
                    </a:stretch>
                  </pic:blipFill>
                  <pic:spPr bwMode="auto">
                    <a:xfrm>
                      <a:off x="0" y="0"/>
                      <a:ext cx="2630170" cy="1415415"/>
                    </a:xfrm>
                    <a:prstGeom prst="rect">
                      <a:avLst/>
                    </a:prstGeom>
                  </pic:spPr>
                </pic:pic>
              </a:graphicData>
            </a:graphic>
          </wp:anchor>
        </w:drawing>
        <w:drawing>
          <wp:anchor behindDoc="0" distT="0" distB="0" distL="0" distR="0" simplePos="0" locked="0" layoutInCell="1" allowOverlap="1" relativeHeight="11">
            <wp:simplePos x="0" y="0"/>
            <wp:positionH relativeFrom="column">
              <wp:posOffset>586105</wp:posOffset>
            </wp:positionH>
            <wp:positionV relativeFrom="paragraph">
              <wp:posOffset>1870710</wp:posOffset>
            </wp:positionV>
            <wp:extent cx="4265930" cy="2773045"/>
            <wp:effectExtent l="0" t="0" r="0" b="0"/>
            <wp:wrapSquare wrapText="largest"/>
            <wp:docPr id="13"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7" descr=""/>
                    <pic:cNvPicPr>
                      <a:picLocks noChangeAspect="1" noChangeArrowheads="1"/>
                    </pic:cNvPicPr>
                  </pic:nvPicPr>
                  <pic:blipFill>
                    <a:blip r:embed="rId8"/>
                    <a:stretch>
                      <a:fillRect/>
                    </a:stretch>
                  </pic:blipFill>
                  <pic:spPr bwMode="auto">
                    <a:xfrm>
                      <a:off x="0" y="0"/>
                      <a:ext cx="4265930" cy="2773045"/>
                    </a:xfrm>
                    <a:prstGeom prst="rect">
                      <a:avLst/>
                    </a:prstGeom>
                  </pic:spPr>
                </pic:pic>
              </a:graphicData>
            </a:graphic>
          </wp:anchor>
        </w:drawing>
      </w:r>
    </w:p>
    <w:tbl>
      <w:tblPr>
        <w:tblW w:w="8504" w:type="dxa"/>
        <w:jc w:val="left"/>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Pr>
      <w:tblGrid>
        <w:gridCol w:w="4252"/>
        <w:gridCol w:w="4251"/>
      </w:tblGrid>
      <w:tr>
        <w:trPr/>
        <w:tc>
          <w:tcPr>
            <w:tcW w:w="4252" w:type="dxa"/>
            <w:tcBorders>
              <w:top w:val="single" w:sz="2" w:space="0" w:color="000001"/>
              <w:left w:val="single" w:sz="2" w:space="0" w:color="000001"/>
              <w:bottom w:val="single" w:sz="2" w:space="0" w:color="000001"/>
              <w:insideH w:val="single" w:sz="2" w:space="0" w:color="000001"/>
            </w:tcBorders>
            <w:shd w:fill="auto" w:val="clear"/>
            <w:tcMar>
              <w:left w:w="45" w:type="dxa"/>
            </w:tcMar>
          </w:tcPr>
          <w:p>
            <w:pPr>
              <w:pStyle w:val="Contedodatabela"/>
              <w:jc w:val="center"/>
              <w:rPr/>
            </w:pPr>
            <w:r>
              <w:rPr/>
            </w:r>
          </w:p>
          <w:p>
            <w:pPr>
              <w:pStyle w:val="Contedodatabela"/>
              <w:jc w:val="center"/>
              <w:rPr/>
            </w:pPr>
            <w:r>
              <w:rPr/>
            </w:r>
          </w:p>
          <w:p>
            <w:pPr>
              <w:pStyle w:val="Contedodatabela"/>
              <w:jc w:val="center"/>
              <w:rPr/>
            </w:pPr>
            <w:r>
              <w:rPr/>
            </w:r>
          </w:p>
          <w:p>
            <w:pPr>
              <w:pStyle w:val="Contedodatabela"/>
              <w:jc w:val="center"/>
              <w:rPr/>
            </w:pPr>
            <w:r>
              <w:rPr/>
            </w:r>
          </w:p>
          <w:p>
            <w:pPr>
              <w:pStyle w:val="Contedodatabela"/>
              <w:jc w:val="center"/>
              <w:rPr/>
            </w:pPr>
            <w:r>
              <w:rPr/>
            </w:r>
          </w:p>
          <w:p>
            <w:pPr>
              <w:pStyle w:val="Contedodatabela"/>
              <w:jc w:val="center"/>
              <w:rPr/>
            </w:pPr>
            <w:r>
              <w:rPr/>
            </w:r>
          </w:p>
          <w:p>
            <w:pPr>
              <w:pStyle w:val="Contedodatabela"/>
              <w:jc w:val="center"/>
              <w:rPr/>
            </w:pPr>
            <w:r>
              <w:rPr/>
            </w:r>
          </w:p>
          <w:p>
            <w:pPr>
              <w:pStyle w:val="Contedodatabela"/>
              <w:jc w:val="center"/>
              <w:rPr/>
            </w:pPr>
            <w:r>
              <w:rPr/>
            </w:r>
          </w:p>
          <w:p>
            <w:pPr>
              <w:pStyle w:val="Contedodatabela"/>
              <w:jc w:val="right"/>
              <w:rPr/>
            </w:pPr>
            <w:r>
              <w:rPr/>
            </w:r>
          </w:p>
        </w:tc>
        <w:tc>
          <w:tcPr>
            <w:tcW w:w="425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tc>
      </w:tr>
      <w:tr>
        <w:trPr/>
        <w:tc>
          <w:tcPr>
            <w:tcW w:w="850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left"/>
              <w:rPr/>
            </w:pPr>
            <w:r>
              <w:rPr/>
            </w:r>
          </w:p>
          <w:p>
            <w:pPr>
              <w:pStyle w:val="Contedodatabela"/>
              <w:jc w:val="left"/>
              <w:rPr/>
            </w:pPr>
            <w:r>
              <w:rPr/>
            </w:r>
          </w:p>
          <w:p>
            <w:pPr>
              <w:pStyle w:val="Contedodatabela"/>
              <w:jc w:val="right"/>
              <w:rPr/>
            </w:pPr>
            <w:r>
              <w:rPr/>
            </w:r>
          </w:p>
          <w:p>
            <w:pPr>
              <w:pStyle w:val="Contedodatabela"/>
              <w:jc w:val="left"/>
              <w:rPr/>
            </w:pPr>
            <w:r>
              <w:rPr/>
            </w:r>
          </w:p>
          <w:p>
            <w:pPr>
              <w:pStyle w:val="Contedodatabela"/>
              <w:jc w:val="left"/>
              <w:rPr/>
            </w:pPr>
            <w:r>
              <w:rPr/>
            </w:r>
          </w:p>
          <w:p>
            <w:pPr>
              <w:pStyle w:val="Contedodatabela"/>
              <w:jc w:val="left"/>
              <w:rPr/>
            </w:pPr>
            <w:r>
              <w:rPr/>
            </w:r>
          </w:p>
          <w:p>
            <w:pPr>
              <w:pStyle w:val="Contedodatabela"/>
              <w:jc w:val="left"/>
              <w:rPr/>
            </w:pPr>
            <w:r>
              <w:rPr/>
            </w:r>
          </w:p>
          <w:p>
            <w:pPr>
              <w:pStyle w:val="Contedodatabela"/>
              <w:jc w:val="left"/>
              <w:rPr/>
            </w:pPr>
            <w:r>
              <w:rPr/>
            </w:r>
          </w:p>
          <w:p>
            <w:pPr>
              <w:pStyle w:val="Contedodatabela"/>
              <w:jc w:val="left"/>
              <w:rPr/>
            </w:pPr>
            <w:r>
              <w:rPr/>
            </w:r>
          </w:p>
          <w:p>
            <w:pPr>
              <w:pStyle w:val="Contedodatabela"/>
              <w:jc w:val="left"/>
              <w:rPr/>
            </w:pPr>
            <w:r>
              <w:rPr/>
            </w:r>
          </w:p>
          <w:p>
            <w:pPr>
              <w:pStyle w:val="Contedodatabela"/>
              <w:jc w:val="right"/>
              <w:rPr/>
            </w:pPr>
            <w:r>
              <w:rPr/>
            </w:r>
          </w:p>
          <w:p>
            <w:pPr>
              <w:pStyle w:val="Contedodatabela"/>
              <w:jc w:val="left"/>
              <w:rPr/>
            </w:pPr>
            <w:r>
              <w:rPr/>
            </w:r>
          </w:p>
          <w:p>
            <w:pPr>
              <w:pStyle w:val="Contedodatabela"/>
              <w:jc w:val="left"/>
              <w:rPr/>
            </w:pPr>
            <w:r>
              <w:rPr/>
            </w:r>
          </w:p>
          <w:p>
            <w:pPr>
              <w:pStyle w:val="Contedodatabela"/>
              <w:jc w:val="left"/>
              <w:rPr/>
            </w:pPr>
            <w:r>
              <w:rPr/>
            </w:r>
          </w:p>
          <w:p>
            <w:pPr>
              <w:pStyle w:val="Contedodatabela"/>
              <w:jc w:val="left"/>
              <w:rPr/>
            </w:pPr>
            <w:r>
              <w:rPr/>
            </w:r>
          </w:p>
          <w:p>
            <w:pPr>
              <w:pStyle w:val="Contedodatabela"/>
              <w:jc w:val="left"/>
              <w:rPr/>
            </w:pPr>
            <w:r>
              <w:rPr/>
            </w:r>
          </w:p>
        </w:tc>
      </w:tr>
      <w:tr>
        <w:trPr/>
        <w:tc>
          <w:tcPr>
            <w:tcW w:w="850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5" w:type="dxa"/>
            </w:tcMar>
          </w:tcPr>
          <w:p>
            <w:pPr>
              <w:pStyle w:val="Contedodatabela"/>
              <w:jc w:val="both"/>
              <w:rPr/>
            </w:pPr>
            <w:r>
              <w:rPr>
                <w:rFonts w:ascii="Garamond" w:hAnsi="Garamond"/>
                <w:sz w:val="22"/>
                <w:szCs w:val="22"/>
              </w:rPr>
              <w:t xml:space="preserve">Figuras 5, 6 e 7- Entrada e fachada lateral do imóvel da Rua Coronel  </w:t>
            </w:r>
            <w:r>
              <w:rPr>
                <w:rFonts w:cs="Garamond" w:ascii="Garamond" w:hAnsi="Garamond"/>
                <w:bCs/>
                <w:sz w:val="22"/>
                <w:szCs w:val="22"/>
              </w:rPr>
              <w:t xml:space="preserve">Manoel Justino Nunes, nº 10, em Formiga. Fonte: Google Street View. Data da imagem: set. 2011.  </w:t>
            </w:r>
          </w:p>
        </w:tc>
      </w:tr>
    </w:tbl>
    <w:p>
      <w:pPr>
        <w:pStyle w:val="Standard"/>
        <w:spacing w:lineRule="auto" w:line="276"/>
        <w:ind w:left="360" w:hanging="0"/>
        <w:jc w:val="left"/>
        <w:rPr>
          <w:rFonts w:ascii="Garamond" w:hAnsi="Garamond" w:cs="Garamond"/>
          <w:bCs/>
        </w:rPr>
      </w:pPr>
      <w:r>
        <w:rPr>
          <w:rFonts w:cs="Garamond" w:ascii="Garamond" w:hAnsi="Garamond"/>
          <w:bCs/>
        </w:rPr>
      </w:r>
    </w:p>
    <w:p>
      <w:pPr>
        <w:pStyle w:val="Standard"/>
        <w:spacing w:lineRule="auto" w:line="276"/>
        <w:ind w:left="360" w:hanging="0"/>
        <w:jc w:val="both"/>
        <w:rPr/>
      </w:pPr>
      <w:r>
        <w:rPr>
          <w:rFonts w:cs="Garamond" w:ascii="Garamond" w:hAnsi="Garamond"/>
          <w:b/>
          <w:bCs/>
        </w:rPr>
        <w:t>7.2- Do inventário do imóvel:</w:t>
      </w:r>
    </w:p>
    <w:p>
      <w:pPr>
        <w:pStyle w:val="Standard"/>
        <w:spacing w:lineRule="auto" w:line="276"/>
        <w:ind w:left="360" w:hanging="0"/>
        <w:jc w:val="both"/>
        <w:rPr>
          <w:rFonts w:ascii="Garamond" w:hAnsi="Garamond" w:cs="Garamond"/>
          <w:b/>
          <w:b/>
          <w:bCs/>
        </w:rPr>
      </w:pPr>
      <w:r>
        <w:rPr>
          <w:rFonts w:cs="Garamond" w:ascii="Garamond" w:hAnsi="Garamond"/>
          <w:b/>
          <w:bCs/>
        </w:rPr>
      </w:r>
    </w:p>
    <w:p>
      <w:pPr>
        <w:pStyle w:val="Normal"/>
        <w:spacing w:lineRule="auto" w:line="276" w:before="0" w:after="0"/>
        <w:ind w:left="0" w:right="0" w:hanging="0"/>
        <w:jc w:val="both"/>
        <w:rPr/>
      </w:pPr>
      <w:r>
        <w:rPr>
          <w:rFonts w:cs="Garamond" w:ascii="Garamond" w:hAnsi="Garamond"/>
          <w:b w:val="false"/>
          <w:bCs w:val="false"/>
          <w:sz w:val="24"/>
          <w:szCs w:val="24"/>
          <w:u w:val="none"/>
        </w:rPr>
        <w:tab/>
        <w:t>A partir da Constituição Federal de 1988, o inventário passou a ser previsto como um instrumento autônomo de proteção e preservação do patrimônio cultural. Em seu art. 216, § 1º, nossa Carta Magna exemplifica alguns instrumentos de proteção ao patrimônio cultural, dentre os quais o inventário, registro, vigilância, tombamento e desapropriação.</w:t>
      </w:r>
    </w:p>
    <w:p>
      <w:pPr>
        <w:pStyle w:val="Normal"/>
        <w:spacing w:lineRule="auto" w:line="276" w:before="0" w:after="0"/>
        <w:ind w:left="0" w:right="0" w:firstLine="1134"/>
        <w:jc w:val="both"/>
        <w:rPr>
          <w:rFonts w:ascii="Garamond" w:hAnsi="Garamond" w:cs="Garamond"/>
        </w:rPr>
      </w:pPr>
      <w:r>
        <w:rPr>
          <w:rFonts w:cs="Garamond" w:ascii="Garamond" w:hAnsi="Garamond"/>
        </w:rPr>
      </w:r>
    </w:p>
    <w:p>
      <w:pPr>
        <w:pStyle w:val="Normal"/>
        <w:spacing w:lineRule="auto" w:line="276" w:before="0" w:after="0"/>
        <w:ind w:left="0" w:right="0" w:hanging="0"/>
        <w:jc w:val="both"/>
        <w:rPr/>
      </w:pPr>
      <w:r>
        <w:rPr>
          <w:rFonts w:cs="Garamond" w:ascii="Garamond" w:hAnsi="Garamond"/>
          <w:b w:val="false"/>
          <w:bCs w:val="false"/>
          <w:sz w:val="24"/>
          <w:szCs w:val="24"/>
          <w:u w:val="none"/>
        </w:rPr>
        <w:tab/>
        <w:t>Sendo assim, a partir do momento em que o bem foi submetido ao inventário significa que passa a ser identificado como patrimônio cultural. Existe, portanto, a presunção de que o bem é portador de referência à identidade, memória, ação dos diferentes grupos formadores da sociedade brasileira (art. 216 da CF), e, por isso, está protegido.</w:t>
      </w:r>
    </w:p>
    <w:p>
      <w:pPr>
        <w:pStyle w:val="Normal"/>
        <w:spacing w:lineRule="auto" w:line="276" w:before="0" w:after="0"/>
        <w:ind w:left="0" w:right="0" w:hanging="0"/>
        <w:jc w:val="both"/>
        <w:rPr>
          <w:rFonts w:ascii="Garamond" w:hAnsi="Garamond" w:cs="Garamond"/>
          <w:b w:val="false"/>
          <w:b w:val="false"/>
          <w:bCs w:val="false"/>
          <w:sz w:val="24"/>
          <w:szCs w:val="24"/>
          <w:u w:val="none"/>
        </w:rPr>
      </w:pPr>
      <w:r>
        <w:rPr>
          <w:rFonts w:cs="Garamond" w:ascii="Garamond" w:hAnsi="Garamond"/>
          <w:b w:val="false"/>
          <w:bCs w:val="false"/>
          <w:sz w:val="24"/>
          <w:szCs w:val="24"/>
          <w:u w:val="none"/>
        </w:rPr>
      </w:r>
    </w:p>
    <w:p>
      <w:pPr>
        <w:pStyle w:val="Normal"/>
        <w:spacing w:lineRule="auto" w:line="276" w:before="0" w:after="0"/>
        <w:ind w:left="0" w:right="0" w:hanging="0"/>
        <w:jc w:val="both"/>
        <w:rPr/>
      </w:pPr>
      <w:r>
        <w:rPr>
          <w:rFonts w:cs="Garamond" w:ascii="Garamond" w:hAnsi="Garamond"/>
          <w:b w:val="false"/>
          <w:bCs w:val="false"/>
          <w:sz w:val="24"/>
          <w:szCs w:val="24"/>
          <w:u w:val="none"/>
        </w:rPr>
        <w:tab/>
        <w:t>Portanto, os bens inventariados são protegidos e não podem ser destruídos, demolidos ou mutilados, e nem reparados, pintados ou restaurados, sem prévia autorização do respectivo órgão de proteção.</w:t>
      </w:r>
    </w:p>
    <w:p>
      <w:pPr>
        <w:pStyle w:val="Normal"/>
        <w:spacing w:lineRule="auto" w:line="276" w:before="0" w:after="0"/>
        <w:ind w:left="0" w:right="0" w:firstLine="1134"/>
        <w:jc w:val="center"/>
        <w:rPr>
          <w:rFonts w:ascii="Garamond" w:hAnsi="Garamond" w:cs="Garamond"/>
          <w:u w:val="single"/>
        </w:rPr>
      </w:pPr>
      <w:r>
        <w:rPr>
          <w:rFonts w:cs="Garamond" w:ascii="Garamond" w:hAnsi="Garamond"/>
          <w:u w:val="single"/>
        </w:rPr>
      </w:r>
    </w:p>
    <w:p>
      <w:pPr>
        <w:pStyle w:val="Normal"/>
        <w:spacing w:lineRule="auto" w:line="276" w:before="0" w:after="0"/>
        <w:ind w:left="0" w:right="0" w:firstLine="1134"/>
        <w:jc w:val="center"/>
        <w:rPr>
          <w:rFonts w:ascii="Garamond" w:hAnsi="Garamond" w:cs="Garamond"/>
          <w:u w:val="single"/>
        </w:rPr>
      </w:pPr>
      <w:r>
        <w:rPr>
          <w:rFonts w:cs="Garamond" w:ascii="Garamond" w:hAnsi="Garamond"/>
          <w:u w:val="single"/>
        </w:rPr>
      </w:r>
    </w:p>
    <w:p>
      <w:pPr>
        <w:pStyle w:val="Normal"/>
        <w:spacing w:lineRule="auto" w:line="276" w:before="0" w:after="0"/>
        <w:ind w:left="0" w:right="0" w:firstLine="1134"/>
        <w:jc w:val="both"/>
        <w:rPr>
          <w:rFonts w:ascii="Garamond" w:hAnsi="Garamond" w:cs="Garamond"/>
          <w:b w:val="false"/>
          <w:b w:val="false"/>
          <w:bCs w:val="false"/>
          <w:sz w:val="24"/>
          <w:szCs w:val="24"/>
          <w:u w:val="none"/>
        </w:rPr>
      </w:pPr>
      <w:r>
        <w:rPr>
          <w:rFonts w:cs="Garamond" w:ascii="Garamond" w:hAnsi="Garamond"/>
          <w:b w:val="false"/>
          <w:bCs w:val="false"/>
          <w:sz w:val="24"/>
          <w:szCs w:val="24"/>
          <w:u w:val="none"/>
        </w:rPr>
        <w:t xml:space="preserve">A Lei Municipal nº 4.061, de 29 de abril de 2018, que estabelece normas de proteção do patrimônio cultural do município de Formiga, reconhece o inventário como instrumento de proteção por meio do qual o poder público identifica e cadastra os bens culturais, com o objetivo de subsidiar as ações administrativas de preservação e proteção. Segundo esta legislação: </w:t>
      </w:r>
    </w:p>
    <w:p>
      <w:pPr>
        <w:pStyle w:val="Normal"/>
        <w:spacing w:lineRule="auto" w:line="276" w:before="0" w:after="0"/>
        <w:ind w:left="0" w:right="0" w:firstLine="1134"/>
        <w:jc w:val="both"/>
        <w:rPr>
          <w:rFonts w:ascii="Garamond" w:hAnsi="Garamond" w:cs="Garamond"/>
          <w:b w:val="false"/>
          <w:b w:val="false"/>
          <w:bCs w:val="false"/>
          <w:sz w:val="24"/>
          <w:szCs w:val="24"/>
          <w:u w:val="none"/>
        </w:rPr>
      </w:pPr>
      <w:r>
        <w:rPr>
          <w:rFonts w:cs="Garamond" w:ascii="Garamond" w:hAnsi="Garamond"/>
          <w:b w:val="false"/>
          <w:bCs w:val="false"/>
          <w:sz w:val="24"/>
          <w:szCs w:val="24"/>
          <w:u w:val="none"/>
        </w:rPr>
      </w:r>
    </w:p>
    <w:p>
      <w:pPr>
        <w:pStyle w:val="Normal"/>
        <w:bidi w:val="0"/>
        <w:spacing w:lineRule="auto" w:line="276" w:before="0" w:after="0"/>
        <w:ind w:left="2125" w:right="0" w:hanging="0"/>
        <w:jc w:val="both"/>
        <w:rPr>
          <w:rFonts w:ascii="Garamond" w:hAnsi="Garamond" w:cs="Garamond"/>
          <w:b w:val="false"/>
          <w:b w:val="false"/>
          <w:bCs w:val="false"/>
          <w:sz w:val="22"/>
          <w:szCs w:val="22"/>
          <w:u w:val="none"/>
        </w:rPr>
      </w:pPr>
      <w:r>
        <w:rPr>
          <w:rFonts w:cs="Garamond" w:ascii="Garamond" w:hAnsi="Garamond"/>
          <w:b w:val="false"/>
          <w:bCs w:val="false"/>
          <w:sz w:val="22"/>
          <w:szCs w:val="22"/>
          <w:u w:val="none"/>
        </w:rPr>
        <w:t>Art. 8º- O inventário tem por finalidade:</w:t>
      </w:r>
    </w:p>
    <w:p>
      <w:pPr>
        <w:pStyle w:val="Normal"/>
        <w:bidi w:val="0"/>
        <w:spacing w:lineRule="auto" w:line="276" w:before="0" w:after="0"/>
        <w:ind w:left="2125" w:right="0" w:hanging="0"/>
        <w:jc w:val="both"/>
        <w:rPr>
          <w:rFonts w:ascii="Garamond" w:hAnsi="Garamond" w:cs="Garamond"/>
          <w:b w:val="false"/>
          <w:b w:val="false"/>
          <w:bCs w:val="false"/>
          <w:sz w:val="22"/>
          <w:szCs w:val="22"/>
          <w:u w:val="none"/>
        </w:rPr>
      </w:pPr>
      <w:r>
        <w:rPr>
          <w:rFonts w:cs="Garamond" w:ascii="Garamond" w:hAnsi="Garamond"/>
          <w:b w:val="false"/>
          <w:bCs w:val="false"/>
          <w:sz w:val="22"/>
          <w:szCs w:val="22"/>
          <w:u w:val="none"/>
        </w:rPr>
      </w:r>
    </w:p>
    <w:p>
      <w:pPr>
        <w:pStyle w:val="Normal"/>
        <w:bidi w:val="0"/>
        <w:spacing w:lineRule="auto" w:line="276" w:before="0" w:after="0"/>
        <w:ind w:left="2125" w:right="0" w:hanging="0"/>
        <w:jc w:val="both"/>
        <w:rPr/>
      </w:pPr>
      <w:r>
        <w:rPr>
          <w:rFonts w:cs="Garamond" w:ascii="Garamond" w:hAnsi="Garamond"/>
          <w:b w:val="false"/>
          <w:bCs w:val="false"/>
          <w:sz w:val="22"/>
          <w:szCs w:val="22"/>
          <w:u w:val="none"/>
        </w:rPr>
        <w:t>I- promover, subsidiar e orientar ações de políticas públicas de preservação e valorização do patrimônio cultural;</w:t>
      </w:r>
    </w:p>
    <w:p>
      <w:pPr>
        <w:pStyle w:val="Normal"/>
        <w:bidi w:val="0"/>
        <w:spacing w:lineRule="auto" w:line="276" w:before="0" w:after="0"/>
        <w:ind w:left="2125" w:right="0" w:hanging="0"/>
        <w:jc w:val="both"/>
        <w:rPr>
          <w:rFonts w:ascii="Garamond" w:hAnsi="Garamond" w:cs="Garamond"/>
          <w:sz w:val="22"/>
          <w:szCs w:val="22"/>
        </w:rPr>
      </w:pPr>
      <w:r>
        <w:rPr>
          <w:rFonts w:cs="Garamond" w:ascii="Garamond" w:hAnsi="Garamond"/>
          <w:sz w:val="22"/>
          <w:szCs w:val="22"/>
        </w:rPr>
        <w:t>II- mobilizar a apoiar a sociedade civil na salvaguarda do patrimônio cultural;</w:t>
      </w:r>
    </w:p>
    <w:p>
      <w:pPr>
        <w:pStyle w:val="Normal"/>
        <w:bidi w:val="0"/>
        <w:spacing w:lineRule="auto" w:line="276" w:before="0" w:after="0"/>
        <w:ind w:left="2125" w:right="0" w:hanging="0"/>
        <w:jc w:val="both"/>
        <w:rPr>
          <w:rFonts w:ascii="Garamond" w:hAnsi="Garamond" w:cs="Garamond"/>
          <w:sz w:val="22"/>
          <w:szCs w:val="22"/>
        </w:rPr>
      </w:pPr>
      <w:r>
        <w:rPr>
          <w:rFonts w:cs="Garamond" w:ascii="Garamond" w:hAnsi="Garamond"/>
          <w:sz w:val="22"/>
          <w:szCs w:val="22"/>
        </w:rPr>
        <w:t>III- promover o acesso ao conhecimento e à fruição do patrimônio cultural;</w:t>
      </w:r>
    </w:p>
    <w:p>
      <w:pPr>
        <w:pStyle w:val="Normal"/>
        <w:bidi w:val="0"/>
        <w:spacing w:lineRule="auto" w:line="276" w:before="0" w:after="0"/>
        <w:ind w:left="2125" w:right="0" w:hanging="0"/>
        <w:jc w:val="both"/>
        <w:rPr>
          <w:rFonts w:ascii="Garamond" w:hAnsi="Garamond" w:cs="Garamond"/>
          <w:b w:val="false"/>
          <w:b w:val="false"/>
          <w:bCs w:val="false"/>
          <w:sz w:val="22"/>
          <w:szCs w:val="22"/>
          <w:u w:val="none"/>
        </w:rPr>
      </w:pPr>
      <w:r>
        <w:rPr>
          <w:rFonts w:cs="Garamond" w:ascii="Garamond" w:hAnsi="Garamond"/>
          <w:b w:val="false"/>
          <w:bCs w:val="false"/>
          <w:sz w:val="22"/>
          <w:szCs w:val="22"/>
          <w:u w:val="none"/>
        </w:rPr>
        <w:t>IV- subsidiar ações de educação patrimonial nas comunidades e nas redes de ensino pública e privada.</w:t>
      </w:r>
    </w:p>
    <w:p>
      <w:pPr>
        <w:pStyle w:val="Normal"/>
        <w:bidi w:val="0"/>
        <w:spacing w:lineRule="auto" w:line="276" w:before="0" w:after="0"/>
        <w:ind w:left="2125" w:right="0" w:hanging="0"/>
        <w:jc w:val="both"/>
        <w:rPr>
          <w:rFonts w:ascii="Garamond" w:hAnsi="Garamond" w:cs="Garamond"/>
          <w:b w:val="false"/>
          <w:b w:val="false"/>
          <w:bCs w:val="false"/>
          <w:sz w:val="22"/>
          <w:szCs w:val="22"/>
          <w:u w:val="none"/>
        </w:rPr>
      </w:pPr>
      <w:r>
        <w:rPr>
          <w:rFonts w:cs="Garamond" w:ascii="Garamond" w:hAnsi="Garamond"/>
          <w:b w:val="false"/>
          <w:bCs w:val="false"/>
          <w:sz w:val="22"/>
          <w:szCs w:val="22"/>
          <w:u w:val="none"/>
        </w:rPr>
        <w:t xml:space="preserve">Parágrafo único: Na execução do inventário serão adotados critérios técnicos, em conformidade com a natureza do bem, de caráter histórico, artístico, sociológico, antropológico e ecológico, respeitada a diversidade das manifestações culturais locais. </w:t>
      </w:r>
    </w:p>
    <w:p>
      <w:pPr>
        <w:pStyle w:val="Normal"/>
        <w:spacing w:lineRule="auto" w:line="276" w:before="0" w:after="0"/>
        <w:ind w:left="0" w:right="0" w:firstLine="1134"/>
        <w:jc w:val="left"/>
        <w:rPr>
          <w:rFonts w:ascii="Garamond" w:hAnsi="Garamond" w:cs="Garamond"/>
        </w:rPr>
      </w:pPr>
      <w:r>
        <w:rPr>
          <w:rFonts w:cs="Garamond" w:ascii="Garamond" w:hAnsi="Garamond"/>
        </w:rPr>
      </w:r>
    </w:p>
    <w:p>
      <w:pPr>
        <w:pStyle w:val="Normal"/>
        <w:spacing w:lineRule="auto" w:line="276" w:before="0" w:after="0"/>
        <w:ind w:right="0" w:hanging="0"/>
        <w:jc w:val="both"/>
        <w:rPr/>
      </w:pPr>
      <w:r>
        <w:rPr>
          <w:rFonts w:cs="Garamond" w:ascii="Garamond" w:hAnsi="Garamond"/>
          <w:b w:val="false"/>
          <w:bCs w:val="false"/>
          <w:sz w:val="22"/>
          <w:szCs w:val="22"/>
          <w:u w:val="none"/>
        </w:rPr>
        <w:tab/>
      </w:r>
      <w:r>
        <w:rPr>
          <w:rFonts w:cs="Garamond" w:ascii="Garamond" w:hAnsi="Garamond"/>
          <w:b w:val="false"/>
          <w:bCs w:val="false"/>
          <w:sz w:val="24"/>
          <w:szCs w:val="24"/>
          <w:u w:val="none"/>
        </w:rPr>
        <w:t xml:space="preserve">Isso indica que o município de Formiga considera o inventário como um instrumento legal de proteção do patrimônio cultural. Logo, eventual pedido de intervenção em bem cultural inventariado deverá ser sempre previamente analisado pelo Conselho Municipal de Patrimônio Cultural, com apoio de equipe técnica especializada, que deverá emitir parecer prévio, para fundamentar a decisão do conselho. </w:t>
      </w:r>
    </w:p>
    <w:p>
      <w:pPr>
        <w:pStyle w:val="Normal"/>
        <w:spacing w:lineRule="auto" w:line="276" w:before="0" w:after="0"/>
        <w:ind w:right="0" w:hanging="0"/>
        <w:jc w:val="both"/>
        <w:rPr>
          <w:rFonts w:ascii="Garamond" w:hAnsi="Garamond" w:cs="Garamond"/>
          <w:b w:val="false"/>
          <w:b w:val="false"/>
          <w:bCs w:val="false"/>
          <w:sz w:val="24"/>
          <w:szCs w:val="24"/>
          <w:u w:val="none"/>
        </w:rPr>
      </w:pPr>
      <w:r>
        <w:rPr>
          <w:rFonts w:cs="Garamond" w:ascii="Garamond" w:hAnsi="Garamond"/>
          <w:b w:val="false"/>
          <w:bCs w:val="false"/>
          <w:sz w:val="24"/>
          <w:szCs w:val="24"/>
          <w:u w:val="none"/>
        </w:rPr>
      </w:r>
    </w:p>
    <w:p>
      <w:pPr>
        <w:pStyle w:val="Normal"/>
        <w:spacing w:lineRule="auto" w:line="276" w:before="0" w:after="0"/>
        <w:ind w:right="0" w:hanging="0"/>
        <w:jc w:val="both"/>
        <w:rPr/>
      </w:pPr>
      <w:r>
        <w:rPr>
          <w:rFonts w:cs="Garamond" w:ascii="Garamond" w:hAnsi="Garamond"/>
          <w:b w:val="false"/>
          <w:bCs w:val="false"/>
          <w:sz w:val="24"/>
          <w:szCs w:val="24"/>
          <w:u w:val="none"/>
        </w:rPr>
        <w:tab/>
        <w:t xml:space="preserve">O Conselho Municipal de Patrimônio Cultural pode reavaliar o valor cultural de bem inventariado, sendo que qualquer decisão deverá ser fundamentada por parecer de especialista, que deverá proceder a ampla pesquisa documental, estilística, urbanística e ambiental para fundamentar sua decisão. O estudo deve ser feito dentro do rigor técnico de pesquisas históricas acadêmicas. A documentação técnica produzida pelo especialista deverá ser arquivada pela Prefeitura e disponibilizada para consulta, sempre que necessário, para permitir acesso de pesquisadores e interessados, servindo de fonte documental. </w:t>
      </w:r>
      <w:r>
        <w:rPr>
          <w:rFonts w:cs="Garamond" w:ascii="Garamond" w:hAnsi="Garamond"/>
        </w:rPr>
        <w:t xml:space="preserve">Comprovado que o bem não possui valor cultural, o inventário pode ser cancelado e o imóvel não possuirá mais ônus. </w:t>
      </w:r>
    </w:p>
    <w:p>
      <w:pPr>
        <w:pStyle w:val="Normal"/>
        <w:spacing w:lineRule="auto" w:line="276" w:before="0" w:after="0"/>
        <w:ind w:left="0" w:right="0" w:firstLine="1134"/>
        <w:jc w:val="both"/>
        <w:rPr>
          <w:rFonts w:ascii="Garamond" w:hAnsi="Garamond" w:cs="Garamond"/>
        </w:rPr>
      </w:pPr>
      <w:r>
        <w:rPr>
          <w:rFonts w:cs="Garamond" w:ascii="Garamond" w:hAnsi="Garamond"/>
        </w:rPr>
      </w:r>
    </w:p>
    <w:p>
      <w:pPr>
        <w:pStyle w:val="Normal"/>
        <w:spacing w:lineRule="auto" w:line="276" w:before="0" w:after="0"/>
        <w:ind w:left="0" w:right="0" w:hanging="0"/>
        <w:jc w:val="both"/>
        <w:rPr/>
      </w:pPr>
      <w:r>
        <w:rPr>
          <w:rFonts w:cs="Garamond" w:ascii="Garamond" w:hAnsi="Garamond"/>
          <w:b w:val="false"/>
          <w:bCs w:val="false"/>
          <w:sz w:val="24"/>
          <w:szCs w:val="24"/>
          <w:u w:val="none"/>
        </w:rPr>
        <w:tab/>
        <w:t xml:space="preserve">Eventual decisão sobre cancelamento do inventário e demolição de um bem sem argumentos consistentes pode ensejar ação judicial contra os conselheiros que a autorizaram por configurar crime contra o patrimônio cultural municipal. </w:t>
      </w:r>
    </w:p>
    <w:p>
      <w:pPr>
        <w:pStyle w:val="Normal"/>
        <w:spacing w:lineRule="auto" w:line="276" w:before="0" w:after="0"/>
        <w:ind w:left="0" w:right="0" w:hanging="0"/>
        <w:jc w:val="center"/>
        <w:rPr>
          <w:rFonts w:ascii="Garamond" w:hAnsi="Garamond" w:cs="Garamond"/>
          <w:b w:val="false"/>
          <w:b w:val="false"/>
          <w:bCs w:val="false"/>
          <w:sz w:val="24"/>
          <w:szCs w:val="24"/>
          <w:u w:val="none"/>
        </w:rPr>
      </w:pPr>
      <w:r>
        <w:rPr>
          <w:rFonts w:cs="Garamond" w:ascii="Garamond" w:hAnsi="Garamond"/>
          <w:b w:val="false"/>
          <w:bCs w:val="false"/>
          <w:sz w:val="24"/>
          <w:szCs w:val="24"/>
          <w:u w:val="none"/>
        </w:rPr>
      </w:r>
    </w:p>
    <w:p>
      <w:pPr>
        <w:pStyle w:val="Normal"/>
        <w:spacing w:lineRule="auto" w:line="276" w:before="0" w:after="0"/>
        <w:ind w:left="0" w:right="0" w:hanging="0"/>
        <w:jc w:val="both"/>
        <w:rPr/>
      </w:pPr>
      <w:r>
        <w:rPr>
          <w:rFonts w:cs="Garamond" w:ascii="Garamond" w:hAnsi="Garamond"/>
          <w:b w:val="false"/>
          <w:bCs w:val="false"/>
          <w:sz w:val="24"/>
          <w:szCs w:val="24"/>
          <w:u w:val="none"/>
        </w:rPr>
        <w:tab/>
        <w:t xml:space="preserve">A alegação de que o bem inventariado já está descaracterizado ou em condições precárias não justifica o cancelamento do inventário, mas a adoção de medidas para reestabelecer as condições físicas da edificação ou suas características originais. </w:t>
      </w:r>
    </w:p>
    <w:p>
      <w:pPr>
        <w:pStyle w:val="Normal"/>
        <w:spacing w:lineRule="auto" w:line="276" w:before="0" w:after="0"/>
        <w:ind w:left="0" w:right="0" w:hanging="0"/>
        <w:jc w:val="both"/>
        <w:rPr>
          <w:rFonts w:ascii="Garamond" w:hAnsi="Garamond" w:cs="Garamond"/>
          <w:b w:val="false"/>
          <w:b w:val="false"/>
          <w:bCs w:val="false"/>
          <w:u w:val="single"/>
        </w:rPr>
      </w:pPr>
      <w:r>
        <w:rPr>
          <w:rFonts w:cs="Garamond" w:ascii="Garamond" w:hAnsi="Garamond"/>
          <w:b w:val="false"/>
          <w:bCs w:val="false"/>
          <w:u w:val="single"/>
        </w:rPr>
      </w:r>
    </w:p>
    <w:p>
      <w:pPr>
        <w:pStyle w:val="Normal"/>
        <w:spacing w:lineRule="auto" w:line="276" w:before="0" w:after="0"/>
        <w:ind w:left="0" w:right="0" w:hanging="0"/>
        <w:jc w:val="both"/>
        <w:rPr>
          <w:sz w:val="24"/>
          <w:szCs w:val="24"/>
          <w:u w:val="none"/>
        </w:rPr>
      </w:pPr>
      <w:r>
        <w:rPr>
          <w:rFonts w:cs="Garamond" w:ascii="Garamond" w:hAnsi="Garamond"/>
          <w:b w:val="false"/>
          <w:bCs w:val="false"/>
          <w:sz w:val="24"/>
          <w:szCs w:val="24"/>
          <w:u w:val="none"/>
        </w:rPr>
        <w:tab/>
        <w:t xml:space="preserve">Neste contexto, este setor técnico considera que a deliberação do </w:t>
      </w:r>
      <w:r>
        <w:rPr>
          <w:rFonts w:cs="Garamond" w:ascii="Garamond" w:hAnsi="Garamond"/>
          <w:b w:val="false"/>
          <w:bCs/>
          <w:sz w:val="24"/>
          <w:szCs w:val="24"/>
          <w:u w:val="none"/>
        </w:rPr>
        <w:t xml:space="preserve">Conselho Municipal do Patrimônio Cultural de Formiga- COMPAC, no sentido de não autorizar a demolição do imóvel inventariado, situado na  Rua Coronel Justino Nunes, nº 10, bairro Centenário, foi acertada e primou pela proteção do patrimônio cultural do município. </w:t>
      </w:r>
    </w:p>
    <w:p>
      <w:pPr>
        <w:pStyle w:val="Normal"/>
        <w:spacing w:lineRule="auto" w:line="276" w:before="0" w:after="0"/>
        <w:ind w:right="0" w:hanging="0"/>
        <w:jc w:val="both"/>
        <w:rPr/>
      </w:pPr>
      <w:r>
        <w:rPr>
          <w:rFonts w:cs="Garamond" w:ascii="Garamond" w:hAnsi="Garamond"/>
          <w:b w:val="false"/>
          <w:bCs w:val="false"/>
          <w:sz w:val="22"/>
          <w:szCs w:val="22"/>
          <w:u w:val="none"/>
        </w:rPr>
        <w:tab/>
      </w:r>
    </w:p>
    <w:p>
      <w:pPr>
        <w:pStyle w:val="Standard"/>
        <w:numPr>
          <w:ilvl w:val="0"/>
          <w:numId w:val="1"/>
        </w:numPr>
        <w:spacing w:lineRule="auto" w:line="276"/>
        <w:jc w:val="both"/>
        <w:rPr>
          <w:b/>
          <w:b/>
          <w:bCs/>
        </w:rPr>
      </w:pPr>
      <w:r>
        <w:rPr>
          <w:rFonts w:cs="Garamond" w:ascii="Garamond" w:hAnsi="Garamond"/>
          <w:b/>
          <w:bCs/>
        </w:rPr>
        <w:t>Conclusões:</w:t>
      </w:r>
    </w:p>
    <w:p>
      <w:pPr>
        <w:pStyle w:val="Standard"/>
        <w:spacing w:lineRule="auto" w:line="276"/>
        <w:jc w:val="left"/>
        <w:rPr/>
      </w:pPr>
      <w:r>
        <w:rPr/>
      </w:r>
    </w:p>
    <w:p>
      <w:pPr>
        <w:pStyle w:val="Normal"/>
        <w:spacing w:lineRule="auto" w:line="276"/>
        <w:ind w:left="0" w:right="0" w:firstLine="708"/>
        <w:jc w:val="both"/>
        <w:rPr>
          <w:rFonts w:ascii="Garamond" w:hAnsi="Garamond" w:eastAsia="MS Mincho;ＭＳ 明朝" w:cs="Garamond"/>
          <w:bCs/>
          <w:iCs/>
        </w:rPr>
      </w:pPr>
      <w:r>
        <w:rPr>
          <w:rFonts w:eastAsia="MS Mincho;ＭＳ 明朝" w:cs="Garamond" w:ascii="Garamond" w:hAnsi="Garamond"/>
          <w:bCs/>
          <w:iCs/>
        </w:rPr>
        <w:t xml:space="preserve">O imóvel situado à Rua Coronel Manoel Justino Nunes, nº 10, no bairro Centenário, em Formiga, corresponde à antiga sede da Fazenda Boa Vista e foi inventariado pelo município no ano de 2009/exercício 2010 do Programa ICMS Cultural. </w:t>
      </w:r>
    </w:p>
    <w:p>
      <w:pPr>
        <w:pStyle w:val="Normal"/>
        <w:spacing w:lineRule="auto" w:line="276"/>
        <w:ind w:left="0" w:right="0" w:firstLine="708"/>
        <w:jc w:val="both"/>
        <w:rPr>
          <w:rFonts w:cs="Garamond"/>
        </w:rPr>
      </w:pPr>
      <w:r>
        <w:rPr>
          <w:rFonts w:cs="Garamond"/>
        </w:rPr>
      </w:r>
    </w:p>
    <w:p>
      <w:pPr>
        <w:pStyle w:val="Normal"/>
        <w:spacing w:lineRule="auto" w:line="276"/>
        <w:ind w:left="0" w:right="0" w:firstLine="708"/>
        <w:jc w:val="both"/>
        <w:rPr/>
      </w:pPr>
      <w:r>
        <w:rPr>
          <w:rFonts w:eastAsia="MS Mincho;ＭＳ 明朝" w:cs="Garamond" w:ascii="Garamond" w:hAnsi="Garamond"/>
          <w:bCs/>
          <w:iCs/>
        </w:rPr>
        <w:t xml:space="preserve">Os bens culturais, </w:t>
      </w:r>
      <w:r>
        <w:rPr>
          <w:rFonts w:eastAsia="MS Mincho;ＭＳ 明朝" w:cs="Garamond;Garamond" w:ascii="Garamond;Garamond" w:hAnsi="Garamond;Garamond"/>
          <w:bCs/>
          <w:iCs/>
        </w:rPr>
        <w:t xml:space="preserve">cujas fichas de inventário foram elaboradas, tiveram o reconhecimento e a formalização da sua importância como integrante do patrimônio cultural do município, passando a ser protegido por ato administrativo. </w:t>
      </w:r>
    </w:p>
    <w:p>
      <w:pPr>
        <w:pStyle w:val="Normal"/>
        <w:spacing w:lineRule="auto" w:line="276"/>
        <w:ind w:left="0" w:right="0" w:firstLine="708"/>
        <w:jc w:val="both"/>
        <w:rPr>
          <w:rFonts w:ascii="Garamond;Garamond" w:hAnsi="Garamond;Garamond" w:cs="Garamond;Garamond"/>
        </w:rPr>
      </w:pPr>
      <w:r>
        <w:rPr>
          <w:rFonts w:cs="Garamond;Garamond" w:ascii="Garamond;Garamond" w:hAnsi="Garamond;Garamond"/>
        </w:rPr>
      </w:r>
    </w:p>
    <w:p>
      <w:pPr>
        <w:pStyle w:val="Normal"/>
        <w:spacing w:lineRule="auto" w:line="276"/>
        <w:ind w:left="0" w:right="0" w:firstLine="708"/>
        <w:jc w:val="both"/>
        <w:rPr>
          <w:rFonts w:ascii="Garamond" w:hAnsi="Garamond" w:eastAsia="MS Mincho;ＭＳ 明朝" w:cs="Garamond"/>
          <w:bCs/>
          <w:iCs/>
        </w:rPr>
      </w:pPr>
      <w:r>
        <w:rPr>
          <w:rFonts w:eastAsia="MS Mincho;ＭＳ 明朝" w:cs="Garamond;Garamond" w:ascii="Garamond;Garamond" w:hAnsi="Garamond;Garamond"/>
          <w:bCs/>
          <w:iCs/>
        </w:rPr>
        <w:t>Sendo assim, os bens inventariados são protegidos e não podem ser destruídos, demolidos ou mutilados, sem prévia autorização do respectivo órgão de proteção. A</w:t>
      </w:r>
      <w:r>
        <w:rPr>
          <w:rFonts w:eastAsia="MS Mincho;ＭＳ 明朝" w:cs="Garamond" w:ascii="Garamond" w:hAnsi="Garamond"/>
          <w:b w:val="false"/>
          <w:bCs w:val="false"/>
          <w:iCs/>
        </w:rPr>
        <w:t>s alterações e os projetos de intervenção ou reforma de bens inventariados também devem ser previamente apreciados e aprovados pelo Conselho Municipal de Patrimônio Cultural.</w:t>
      </w:r>
    </w:p>
    <w:p>
      <w:pPr>
        <w:pStyle w:val="Normal"/>
        <w:spacing w:lineRule="auto" w:line="276"/>
        <w:ind w:left="0" w:right="0" w:firstLine="708"/>
        <w:jc w:val="both"/>
        <w:rPr>
          <w:rFonts w:ascii="Garamond;Garamond" w:hAnsi="Garamond;Garamond" w:cs="Garamond;Garamond"/>
        </w:rPr>
      </w:pPr>
      <w:r>
        <w:rPr>
          <w:rFonts w:cs="Garamond;Garamond" w:ascii="Garamond;Garamond" w:hAnsi="Garamond;Garamond"/>
        </w:rPr>
      </w:r>
    </w:p>
    <w:p>
      <w:pPr>
        <w:pStyle w:val="Corpodetexto"/>
        <w:spacing w:lineRule="auto" w:line="276" w:before="0" w:after="0"/>
        <w:ind w:hanging="0"/>
        <w:jc w:val="both"/>
        <w:rPr>
          <w:rFonts w:ascii="Garamond;Garamond" w:hAnsi="Garamond;Garamond" w:eastAsia="MS Mincho;ＭＳ 明朝" w:cs="Garamond;Garamond"/>
          <w:b w:val="false"/>
          <w:b w:val="false"/>
          <w:bCs w:val="false"/>
        </w:rPr>
      </w:pPr>
      <w:r>
        <w:rPr>
          <w:rFonts w:eastAsia="MS Mincho;ＭＳ 明朝" w:cs="Garamond" w:ascii="Garamond;Garamond" w:hAnsi="Garamond;Garamond"/>
          <w:b w:val="false"/>
          <w:bCs w:val="false"/>
          <w:iCs/>
          <w:u w:val="none"/>
        </w:rPr>
        <w:tab/>
      </w:r>
      <w:r>
        <w:rPr>
          <w:rFonts w:eastAsia="MS Mincho;ＭＳ 明朝" w:cs="Garamond;Garamond" w:ascii="Garamond;Garamond" w:hAnsi="Garamond;Garamond"/>
          <w:b w:val="false"/>
          <w:bCs w:val="false"/>
          <w:iCs/>
          <w:u w:val="none"/>
        </w:rPr>
        <w:t>Portanto, no caso em questão, c</w:t>
      </w:r>
      <w:r>
        <w:rPr>
          <w:rFonts w:eastAsia="MS Mincho;ＭＳ 明朝" w:cs="Garamond" w:ascii="Garamond" w:hAnsi="Garamond"/>
          <w:b w:val="false"/>
          <w:bCs w:val="false"/>
          <w:iCs/>
          <w:sz w:val="24"/>
          <w:szCs w:val="24"/>
          <w:u w:val="none"/>
        </w:rPr>
        <w:t xml:space="preserve">onsidera-se que o </w:t>
      </w:r>
      <w:r>
        <w:rPr>
          <w:rFonts w:eastAsia="MS Mincho;ＭＳ 明朝" w:cs="Garamond" w:ascii="Garamond" w:hAnsi="Garamond"/>
          <w:b w:val="false"/>
          <w:bCs/>
          <w:iCs/>
          <w:sz w:val="24"/>
          <w:szCs w:val="24"/>
          <w:u w:val="none"/>
        </w:rPr>
        <w:t>Conselho Municipal do Patrimônio Cultural de Formiga deliberou de forma acertada, ao não autorizar a demolição da edificação situada na Rua Coronel Justino Nunes, nº 10, bairro Centenário. Afinal, trata-se de bem cultural inventariado e a alegação de que o imóvel se encontra em mau estado de conservação não pode servir de argumento para</w:t>
      </w:r>
      <w:r>
        <w:rPr>
          <w:rFonts w:eastAsia="MS Mincho;ＭＳ 明朝" w:cs="Garamond;Garamond" w:ascii="Garamond;Garamond" w:hAnsi="Garamond;Garamond"/>
          <w:b w:val="false"/>
          <w:bCs w:val="false"/>
          <w:iCs/>
          <w:sz w:val="24"/>
          <w:szCs w:val="24"/>
          <w:u w:val="none"/>
        </w:rPr>
        <w:t xml:space="preserve"> sua destruição. </w:t>
      </w:r>
    </w:p>
    <w:p>
      <w:pPr>
        <w:pStyle w:val="Corpodetexto"/>
        <w:spacing w:lineRule="auto" w:line="276" w:before="0" w:after="0"/>
        <w:ind w:hanging="0"/>
        <w:jc w:val="left"/>
        <w:rPr>
          <w:rFonts w:ascii="Garamond" w:hAnsi="Garamond" w:cs="Garamond"/>
        </w:rPr>
      </w:pPr>
      <w:r>
        <w:rPr>
          <w:rFonts w:cs="Garamond" w:ascii="Garamond" w:hAnsi="Garamond"/>
        </w:rPr>
      </w:r>
    </w:p>
    <w:p>
      <w:pPr>
        <w:pStyle w:val="Standard"/>
        <w:numPr>
          <w:ilvl w:val="0"/>
          <w:numId w:val="1"/>
        </w:numPr>
        <w:spacing w:lineRule="auto" w:line="276"/>
        <w:jc w:val="both"/>
        <w:rPr>
          <w:b/>
          <w:b/>
          <w:bCs/>
        </w:rPr>
      </w:pPr>
      <w:r>
        <w:rPr>
          <w:rFonts w:cs="Garamond" w:ascii="Garamond" w:hAnsi="Garamond"/>
          <w:b/>
          <w:bCs/>
        </w:rPr>
        <w:t>Encerramento:</w:t>
      </w:r>
    </w:p>
    <w:p>
      <w:pPr>
        <w:pStyle w:val="Standard"/>
        <w:spacing w:lineRule="auto" w:line="276"/>
        <w:ind w:right="68" w:firstLine="708"/>
        <w:jc w:val="both"/>
        <w:rPr>
          <w:rFonts w:ascii="Garamond" w:hAnsi="Garamond" w:cs="Garamond"/>
          <w:b/>
          <w:b/>
          <w:bCs/>
          <w:lang w:eastAsia="pt-BR"/>
        </w:rPr>
      </w:pPr>
      <w:r>
        <w:rPr>
          <w:rFonts w:cs="Garamond" w:ascii="Garamond" w:hAnsi="Garamond"/>
          <w:b/>
          <w:bCs/>
          <w:lang w:eastAsia="pt-BR"/>
        </w:rPr>
      </w:r>
    </w:p>
    <w:p>
      <w:pPr>
        <w:pStyle w:val="Standard"/>
        <w:spacing w:lineRule="auto" w:line="276"/>
        <w:ind w:firstLine="709"/>
        <w:jc w:val="both"/>
        <w:rPr/>
      </w:pPr>
      <w:r>
        <w:rPr>
          <w:rFonts w:cs="Garamond" w:ascii="Garamond" w:hAnsi="Garamond"/>
        </w:rPr>
        <w:t>São essas as considerações do Setor Técnico desta Promotoria, que se coloca à disposição para o que mais se fizer necessário.</w:t>
      </w:r>
    </w:p>
    <w:p>
      <w:pPr>
        <w:pStyle w:val="Standard"/>
        <w:spacing w:lineRule="auto" w:line="276"/>
        <w:ind w:firstLine="2160"/>
        <w:jc w:val="right"/>
        <w:rPr>
          <w:rFonts w:ascii="Garamond" w:hAnsi="Garamond" w:cs="Garamond"/>
        </w:rPr>
      </w:pPr>
      <w:r>
        <w:rPr>
          <w:rFonts w:cs="Garamond" w:ascii="Garamond" w:hAnsi="Garamond"/>
        </w:rPr>
      </w:r>
    </w:p>
    <w:p>
      <w:pPr>
        <w:pStyle w:val="Standard"/>
        <w:spacing w:lineRule="auto" w:line="276"/>
        <w:ind w:firstLine="2160"/>
        <w:jc w:val="right"/>
        <w:rPr/>
      </w:pPr>
      <w:r>
        <w:rPr>
          <w:rFonts w:cs="Garamond" w:ascii="Garamond" w:hAnsi="Garamond"/>
        </w:rPr>
        <w:t>Belo Horizonte, 1</w:t>
      </w:r>
      <w:r>
        <w:rPr>
          <w:rFonts w:cs="Garamond" w:ascii="Garamond" w:hAnsi="Garamond"/>
        </w:rPr>
        <w:t>6</w:t>
      </w:r>
      <w:r>
        <w:rPr>
          <w:rFonts w:cs="Garamond" w:ascii="Garamond" w:hAnsi="Garamond"/>
        </w:rPr>
        <w:t xml:space="preserve"> de janeiro de 2020.</w:t>
      </w:r>
    </w:p>
    <w:p>
      <w:pPr>
        <w:pStyle w:val="Standard"/>
        <w:spacing w:lineRule="auto" w:line="276"/>
        <w:ind w:firstLine="2160"/>
        <w:jc w:val="center"/>
        <w:rPr/>
      </w:pPr>
      <w:r>
        <w:rPr/>
      </w:r>
    </w:p>
    <w:tbl>
      <w:tblPr>
        <w:tblW w:w="9502" w:type="dxa"/>
        <w:jc w:val="left"/>
        <w:tblInd w:w="-72" w:type="dxa"/>
        <w:tblBorders/>
        <w:tblCellMar>
          <w:top w:w="0" w:type="dxa"/>
          <w:left w:w="70" w:type="dxa"/>
          <w:bottom w:w="0" w:type="dxa"/>
          <w:right w:w="70" w:type="dxa"/>
        </w:tblCellMar>
      </w:tblPr>
      <w:tblGrid>
        <w:gridCol w:w="9502"/>
      </w:tblGrid>
      <w:tr>
        <w:trPr/>
        <w:tc>
          <w:tcPr>
            <w:tcW w:w="9502" w:type="dxa"/>
            <w:tcBorders/>
            <w:shd w:fill="auto" w:val="clear"/>
          </w:tcPr>
          <w:p>
            <w:pPr>
              <w:pStyle w:val="Normal"/>
              <w:jc w:val="center"/>
              <w:rPr/>
            </w:pPr>
            <w:r>
              <w:rPr/>
            </w:r>
          </w:p>
          <w:p>
            <w:pPr>
              <w:pStyle w:val="Normal"/>
              <w:jc w:val="center"/>
              <w:rPr/>
            </w:pPr>
            <w:r>
              <w:rPr/>
            </w:r>
          </w:p>
        </w:tc>
      </w:tr>
      <w:tr>
        <w:trPr/>
        <w:tc>
          <w:tcPr>
            <w:tcW w:w="9502" w:type="dxa"/>
            <w:tcBorders/>
            <w:shd w:fill="auto" w:val="clear"/>
          </w:tcPr>
          <w:p>
            <w:pPr>
              <w:pStyle w:val="Normal"/>
              <w:spacing w:lineRule="auto" w:line="276"/>
              <w:jc w:val="center"/>
              <w:rPr>
                <w:rFonts w:ascii="Garamond" w:hAnsi="Garamond" w:cs="Garamond"/>
              </w:rPr>
            </w:pPr>
            <w:r>
              <w:rPr>
                <w:rFonts w:cs="Garamond" w:ascii="Garamond" w:hAnsi="Garamond"/>
              </w:rPr>
              <w:t>Neise Mendes Duarte</w:t>
            </w:r>
          </w:p>
          <w:p>
            <w:pPr>
              <w:pStyle w:val="Normal"/>
              <w:spacing w:lineRule="auto" w:line="276"/>
              <w:jc w:val="center"/>
              <w:rPr>
                <w:rFonts w:ascii="Garamond" w:hAnsi="Garamond" w:cs="Garamond"/>
              </w:rPr>
            </w:pPr>
            <w:r>
              <w:rPr>
                <w:rFonts w:cs="Garamond" w:ascii="Garamond" w:hAnsi="Garamond"/>
              </w:rPr>
              <w:t>Analista do Ministério Público – MAMP 5011</w:t>
            </w:r>
          </w:p>
          <w:p>
            <w:pPr>
              <w:pStyle w:val="Normal"/>
              <w:spacing w:lineRule="auto" w:line="276"/>
              <w:jc w:val="center"/>
              <w:rPr>
                <w:rFonts w:ascii="Garamond" w:hAnsi="Garamond" w:cs="Garamond"/>
              </w:rPr>
            </w:pPr>
            <w:r>
              <w:rPr>
                <w:rFonts w:cs="Garamond" w:ascii="Garamond" w:hAnsi="Garamond"/>
              </w:rPr>
              <w:t>Historiadora</w:t>
            </w:r>
          </w:p>
        </w:tc>
      </w:tr>
    </w:tbl>
    <w:p>
      <w:pPr>
        <w:pStyle w:val="Normal"/>
        <w:rPr/>
      </w:pPr>
      <w:r>
        <w:rPr/>
      </w:r>
    </w:p>
    <w:sectPr>
      <w:headerReference w:type="default" r:id="rId9"/>
      <w:footerReference w:type="default" r:id="rId10"/>
      <w:footnotePr>
        <w:numFmt w:val="decimal"/>
      </w:footnotePr>
      <w:type w:val="nextPage"/>
      <w:pgSz w:w="11906" w:h="16838"/>
      <w:pgMar w:left="1701" w:right="1701" w:header="709" w:top="766" w:footer="295" w:bottom="352"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Tahom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Garamond">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 w:name="Arial Unicode MS">
    <w:charset w:val="00"/>
    <w:family w:val="roman"/>
    <w:pitch w:val="variable"/>
  </w:font>
  <w:font w:name="Garamon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color w:val="000000"/>
      </w:rPr>
    </w:pPr>
    <w:r>
      <w:rPr/>
      <w:drawing>
        <wp:inline distT="0" distB="0" distL="0" distR="0">
          <wp:extent cx="5334000" cy="561975"/>
          <wp:effectExtent l="0" t="0" r="0" b="0"/>
          <wp:docPr id="1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4" descr=""/>
                  <pic:cNvPicPr>
                    <a:picLocks noChangeAspect="1" noChangeArrowheads="1"/>
                  </pic:cNvPicPr>
                </pic:nvPicPr>
                <pic:blipFill>
                  <a:blip r:embed="rId1"/>
                  <a:srcRect l="-9" t="-61" r="-9" b="30424"/>
                  <a:stretch>
                    <a:fillRect/>
                  </a:stretch>
                </pic:blipFill>
                <pic:spPr bwMode="auto">
                  <a:xfrm>
                    <a:off x="0" y="0"/>
                    <a:ext cx="5334000" cy="561975"/>
                  </a:xfrm>
                  <a:prstGeom prst="rect">
                    <a:avLst/>
                  </a:prstGeom>
                </pic:spPr>
              </pic:pic>
            </a:graphicData>
          </a:graphic>
        </wp:inline>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Notaderodap"/>
        <w:rPr/>
      </w:pPr>
      <w:r>
        <w:rPr/>
        <w:footnoteRef/>
        <w:tab/>
        <w:t xml:space="preserve"> </w:t>
      </w:r>
      <w:r>
        <w:rPr>
          <w:rFonts w:ascii="Garamond" w:hAnsi="Garamond"/>
          <w:sz w:val="20"/>
          <w:szCs w:val="20"/>
        </w:rPr>
        <w:t>Ofício nº 004/2019.</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right="360" w:hanging="0"/>
      <w:jc w:val="center"/>
      <w:rPr/>
    </w:pPr>
    <w:r>
      <w:rPr/>
      <w:drawing>
        <wp:inline distT="0" distB="0" distL="0" distR="0">
          <wp:extent cx="5334000" cy="807085"/>
          <wp:effectExtent l="0" t="0" r="0" b="0"/>
          <wp:docPr id="1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3" descr=""/>
                  <pic:cNvPicPr>
                    <a:picLocks noChangeAspect="1" noChangeArrowheads="1"/>
                  </pic:cNvPicPr>
                </pic:nvPicPr>
                <pic:blipFill>
                  <a:blip r:embed="rId1"/>
                  <a:srcRect l="-9" t="-61" r="-9" b="-61"/>
                  <a:stretch>
                    <a:fillRect/>
                  </a:stretch>
                </pic:blipFill>
                <pic:spPr bwMode="auto">
                  <a:xfrm>
                    <a:off x="0" y="0"/>
                    <a:ext cx="5334000" cy="807085"/>
                  </a:xfrm>
                  <a:prstGeom prst="rect">
                    <a:avLst/>
                  </a:prstGeom>
                </pic:spPr>
              </pic:pic>
            </a:graphicData>
          </a:graphic>
        </wp:inline>
      </w:drawing>
      <mc:AlternateContent>
        <mc:Choice Requires="wps">
          <w:drawing>
            <wp:anchor behindDoc="1" distT="0" distB="0" distL="114300" distR="114300" simplePos="0" locked="0" layoutInCell="1" allowOverlap="1" relativeHeight="8" wp14:anchorId="73BDD5C4">
              <wp:simplePos x="0" y="0"/>
              <wp:positionH relativeFrom="margin">
                <wp:align>right</wp:align>
              </wp:positionH>
              <wp:positionV relativeFrom="paragraph">
                <wp:posOffset>635</wp:posOffset>
              </wp:positionV>
              <wp:extent cx="20955" cy="174625"/>
              <wp:effectExtent l="0" t="0" r="0" b="0"/>
              <wp:wrapSquare wrapText="bothSides"/>
              <wp:docPr id="14" name="Quadro1"/>
              <a:graphic xmlns:a="http://schemas.openxmlformats.org/drawingml/2006/main">
                <a:graphicData uri="http://schemas.microsoft.com/office/word/2010/wordprocessingShape">
                  <wps:wsp>
                    <wps:cNvSpPr/>
                    <wps:spPr>
                      <a:xfrm>
                        <a:off x="0" y="0"/>
                        <a:ext cx="20160" cy="173880"/>
                      </a:xfrm>
                      <a:prstGeom prst="rect">
                        <a:avLst/>
                      </a:prstGeom>
                      <a:noFill/>
                      <a:ln>
                        <a:noFill/>
                      </a:ln>
                    </wps:spPr>
                    <wps:style>
                      <a:lnRef idx="0"/>
                      <a:fillRef idx="0"/>
                      <a:effectRef idx="0"/>
                      <a:fontRef idx="minor"/>
                    </wps:style>
                    <wps:txbx>
                      <w:txbxContent>
                        <w:p>
                          <w:pPr>
                            <w:pStyle w:val="Cabealho"/>
                            <w:rPr>
                              <w:color w:val="000000"/>
                            </w:rPr>
                          </w:pPr>
                          <w:r>
                            <w:rPr>
                              <w:color w:val="000000"/>
                            </w:rPr>
                            <w:fldChar w:fldCharType="begin"/>
                          </w:r>
                          <w:r>
                            <w:instrText> PAGE </w:instrText>
                          </w:r>
                          <w:r>
                            <w:fldChar w:fldCharType="separate"/>
                          </w:r>
                          <w:r>
                            <w:t>7</w:t>
                          </w:r>
                          <w:r>
                            <w:fldChar w:fldCharType="end"/>
                          </w:r>
                        </w:p>
                      </w:txbxContent>
                    </wps:txbx>
                    <wps:bodyPr lIns="0" rIns="0" tIns="0" bIns="0">
                      <a:spAutoFit/>
                    </wps:bodyPr>
                  </wps:wsp>
                </a:graphicData>
              </a:graphic>
            </wp:anchor>
          </w:drawing>
        </mc:Choice>
        <mc:Fallback>
          <w:pict>
            <v:rect id="shape_0" ID="Quadro1" stroked="f" style="position:absolute;margin-left:414.55pt;margin-top:0.05pt;width:1.55pt;height:13.65pt;mso-position-horizontal:right;mso-position-horizontal-relative:margin" wp14:anchorId="73BDD5C4">
              <w10:wrap type="square"/>
              <v:fill o:detectmouseclick="t" on="false"/>
              <v:stroke color="#3465a4" joinstyle="round" endcap="flat"/>
              <v:textbox>
                <w:txbxContent>
                  <w:p>
                    <w:pPr>
                      <w:pStyle w:val="Cabealho"/>
                      <w:rPr>
                        <w:color w:val="000000"/>
                      </w:rPr>
                    </w:pPr>
                    <w:r>
                      <w:rPr>
                        <w:color w:val="000000"/>
                      </w:rPr>
                      <w:fldChar w:fldCharType="begin"/>
                    </w:r>
                    <w:r>
                      <w:instrText> PAGE </w:instrText>
                    </w:r>
                    <w:r>
                      <w:fldChar w:fldCharType="separate"/>
                    </w:r>
                    <w:r>
                      <w:t>7</w:t>
                    </w:r>
                    <w: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autoHyphenation w:val="false"/>
  <w:footnotePr>
    <w:numFmt w:val="decimal"/>
    <w:footnote w:id="0"/>
    <w:footnote w:id="1"/>
  </w:footnotePr>
  <w:compat>
    <w:compatSetting w:name="compatibilityMode" w:uri="http://schemas.microsoft.com/office/word" w:val="14"/>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szCs w:val="24"/>
        <w:lang w:val="pt-BR"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textAlignment w:val="baseline"/>
    </w:pPr>
    <w:rPr>
      <w:rFonts w:ascii="Times New Roman" w:hAnsi="Times New Roman" w:eastAsia="SimSun" w:cs="Mangal"/>
      <w:color w:val="00000A"/>
      <w:sz w:val="24"/>
      <w:szCs w:val="24"/>
      <w:lang w:val="pt-BR" w:eastAsia="zh-CN" w:bidi="hi-IN"/>
    </w:rPr>
  </w:style>
  <w:style w:type="paragraph" w:styleId="Ttulo1">
    <w:name w:val="Heading 1"/>
    <w:basedOn w:val="Normal"/>
    <w:qFormat/>
    <w:pPr>
      <w:keepNext/>
      <w:widowControl w:val="false"/>
      <w:jc w:val="center"/>
      <w:outlineLvl w:val="0"/>
    </w:pPr>
    <w:rPr>
      <w:b/>
      <w:bCs/>
    </w:rPr>
  </w:style>
  <w:style w:type="paragraph" w:styleId="Ttulo2">
    <w:name w:val="Heading 2"/>
    <w:basedOn w:val="Normal"/>
    <w:qFormat/>
    <w:pPr>
      <w:keepNext/>
      <w:widowControl w:val="false"/>
      <w:spacing w:before="240" w:after="60"/>
      <w:outlineLvl w:val="1"/>
    </w:pPr>
    <w:rPr>
      <w:rFonts w:ascii="Cambria" w:hAnsi="Cambria"/>
      <w:b/>
      <w:bCs/>
      <w:i/>
      <w:iCs/>
      <w:sz w:val="28"/>
      <w:szCs w:val="28"/>
    </w:rPr>
  </w:style>
  <w:style w:type="paragraph" w:styleId="Ttulo3">
    <w:name w:val="Heading 3"/>
    <w:basedOn w:val="Normal"/>
    <w:qFormat/>
    <w:pPr>
      <w:keepNext/>
      <w:widowControl w:val="false"/>
      <w:outlineLvl w:val="2"/>
    </w:pPr>
    <w:rPr>
      <w:rFonts w:ascii="Tahoma" w:hAnsi="Tahoma" w:cs="Tahoma"/>
      <w:b/>
      <w:bCs/>
      <w:sz w:val="21"/>
    </w:rPr>
  </w:style>
  <w:style w:type="paragraph" w:styleId="Ttulo7">
    <w:name w:val="Heading 7"/>
    <w:basedOn w:val="Normal"/>
    <w:qFormat/>
    <w:pPr>
      <w:keepNext/>
      <w:widowControl w:val="false"/>
      <w:jc w:val="both"/>
      <w:outlineLvl w:val="6"/>
    </w:pPr>
    <w:rPr>
      <w:szCs w:val="20"/>
    </w:rPr>
  </w:style>
  <w:style w:type="paragraph" w:styleId="Ttulo8">
    <w:name w:val="Heading 8"/>
    <w:basedOn w:val="Normal"/>
    <w:next w:val="Normal"/>
    <w:link w:val="Ttulo8Char"/>
    <w:uiPriority w:val="9"/>
    <w:semiHidden/>
    <w:unhideWhenUsed/>
    <w:qFormat/>
    <w:rsid w:val="00670efe"/>
    <w:pPr>
      <w:keepNext/>
      <w:keepLines/>
      <w:spacing w:before="200" w:after="0"/>
      <w:outlineLvl w:val="7"/>
    </w:pPr>
    <w:rPr>
      <w:rFonts w:ascii="Cambria" w:hAnsi="Cambria" w:eastAsia="" w:asciiTheme="majorHAnsi" w:eastAsiaTheme="majorEastAsia" w:hAnsiTheme="majorHAnsi"/>
      <w:color w:val="404040" w:themeColor="text1" w:themeTint="bf"/>
      <w:sz w:val="20"/>
      <w:szCs w:val="18"/>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style>
  <w:style w:type="character" w:styleId="WW8Num3z1" w:customStyle="1">
    <w:name w:val="WW8Num3z1"/>
    <w:qFormat/>
    <w:rPr>
      <w:rFonts w:ascii="Symbol" w:hAnsi="Symbol" w:eastAsia="Times New Roman" w:cs="Times New Roman"/>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rFonts w:ascii="Garamond" w:hAnsi="Garamond" w:cs="Garamond"/>
      <w:b/>
      <w:bCs/>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Caracteresdenotaderodap" w:customStyle="1">
    <w:name w:val="Caracteres de nota de rodapé"/>
    <w:qFormat/>
    <w:rPr>
      <w:vertAlign w:val="superscript"/>
    </w:rPr>
  </w:style>
  <w:style w:type="character" w:styleId="Pagenumber">
    <w:name w:val="page number"/>
    <w:basedOn w:val="DefaultParagraphFont"/>
    <w:qFormat/>
    <w:rPr/>
  </w:style>
  <w:style w:type="character" w:styleId="Internetlink" w:customStyle="1">
    <w:name w:val="Internet link"/>
    <w:qFormat/>
    <w:rPr>
      <w:color w:val="0000FF"/>
      <w:u w:val="single"/>
    </w:rPr>
  </w:style>
  <w:style w:type="character" w:styleId="H1" w:customStyle="1">
    <w:name w:val="h1"/>
    <w:basedOn w:val="DefaultParagraphFont"/>
    <w:qFormat/>
    <w:rPr/>
  </w:style>
  <w:style w:type="character" w:styleId="Ttulo2Char" w:customStyle="1">
    <w:name w:val="Título 2 Char"/>
    <w:qFormat/>
    <w:rPr>
      <w:rFonts w:ascii="Cambria" w:hAnsi="Cambria" w:eastAsia="Times New Roman" w:cs="Times New Roman"/>
      <w:b/>
      <w:bCs/>
      <w:i/>
      <w:iCs/>
      <w:sz w:val="28"/>
      <w:szCs w:val="28"/>
    </w:rPr>
  </w:style>
  <w:style w:type="character" w:styleId="Ncoradanotaderodap" w:customStyle="1">
    <w:name w:val="Âncora da nota de rodapé"/>
    <w:rPr>
      <w:vertAlign w:val="superscript"/>
    </w:rPr>
  </w:style>
  <w:style w:type="character" w:styleId="Marcas" w:customStyle="1">
    <w:name w:val="Marcas"/>
    <w:qFormat/>
    <w:rPr>
      <w:rFonts w:ascii="OpenSymbol" w:hAnsi="OpenSymbol" w:eastAsia="OpenSymbol" w:cs="OpenSymbol"/>
    </w:rPr>
  </w:style>
  <w:style w:type="character" w:styleId="Nfase">
    <w:name w:val="Ênfase"/>
    <w:uiPriority w:val="20"/>
    <w:qFormat/>
    <w:rPr>
      <w:i/>
      <w:iCs/>
    </w:rPr>
  </w:style>
  <w:style w:type="character" w:styleId="Nfaseforte" w:customStyle="1">
    <w:name w:val="Ênfase forte"/>
    <w:qFormat/>
    <w:rPr>
      <w:b/>
      <w:bCs/>
    </w:rPr>
  </w:style>
  <w:style w:type="character" w:styleId="Smbolosdenumerao" w:customStyle="1">
    <w:name w:val="Símbolos de numeração"/>
    <w:qFormat/>
    <w:rPr/>
  </w:style>
  <w:style w:type="character" w:styleId="FootnoteCharacters" w:customStyle="1">
    <w:name w:val="Footnote Characters"/>
    <w:basedOn w:val="DefaultParagraphFont"/>
    <w:semiHidden/>
    <w:unhideWhenUsed/>
    <w:qFormat/>
    <w:rPr>
      <w:vertAlign w:val="superscript"/>
    </w:rPr>
  </w:style>
  <w:style w:type="character" w:styleId="TextodebaloChar" w:customStyle="1">
    <w:name w:val="Texto de balão Char"/>
    <w:basedOn w:val="DefaultParagraphFont"/>
    <w:link w:val="Textodebalo"/>
    <w:uiPriority w:val="99"/>
    <w:semiHidden/>
    <w:qFormat/>
    <w:rsid w:val="00222120"/>
    <w:rPr>
      <w:rFonts w:ascii="Tahoma" w:hAnsi="Tahoma"/>
      <w:sz w:val="16"/>
      <w:szCs w:val="14"/>
    </w:rPr>
  </w:style>
  <w:style w:type="character" w:styleId="TextodenotaderodapChar" w:customStyle="1">
    <w:name w:val="Texto de nota de rodapé Char"/>
    <w:basedOn w:val="DefaultParagraphFont"/>
    <w:link w:val="Textodenotaderodap"/>
    <w:semiHidden/>
    <w:qFormat/>
    <w:rsid w:val="005542cf"/>
    <w:rPr>
      <w:rFonts w:eastAsia="Times New Roman" w:cs="Times New Roman"/>
      <w:sz w:val="20"/>
      <w:szCs w:val="20"/>
      <w:lang w:eastAsia="pt-BR" w:bidi="ar-SA"/>
    </w:rPr>
  </w:style>
  <w:style w:type="character" w:styleId="Object" w:customStyle="1">
    <w:name w:val="object"/>
    <w:basedOn w:val="DefaultParagraphFont"/>
    <w:qFormat/>
    <w:rsid w:val="005542cf"/>
    <w:rPr/>
  </w:style>
  <w:style w:type="character" w:styleId="Ttulo8Char" w:customStyle="1">
    <w:name w:val="Título 8 Char"/>
    <w:basedOn w:val="DefaultParagraphFont"/>
    <w:link w:val="Ttulo8"/>
    <w:uiPriority w:val="9"/>
    <w:semiHidden/>
    <w:qFormat/>
    <w:rsid w:val="00670efe"/>
    <w:rPr>
      <w:rFonts w:ascii="Cambria" w:hAnsi="Cambria" w:eastAsia="" w:asciiTheme="majorHAnsi" w:eastAsiaTheme="majorEastAsia" w:hAnsiTheme="majorHAnsi"/>
      <w:color w:val="404040" w:themeColor="text1" w:themeTint="bf"/>
      <w:sz w:val="20"/>
      <w:szCs w:val="18"/>
    </w:rPr>
  </w:style>
  <w:style w:type="character" w:styleId="CorpodetextoChar" w:customStyle="1">
    <w:name w:val="Corpo de texto Char"/>
    <w:basedOn w:val="DefaultParagraphFont"/>
    <w:link w:val="Corpodetexto"/>
    <w:uiPriority w:val="99"/>
    <w:semiHidden/>
    <w:qFormat/>
    <w:rsid w:val="00d143c7"/>
    <w:rPr>
      <w:szCs w:val="21"/>
    </w:rPr>
  </w:style>
  <w:style w:type="character" w:styleId="TextodenotadefimChar" w:customStyle="1">
    <w:name w:val="Texto de nota de fim Char"/>
    <w:basedOn w:val="DefaultParagraphFont"/>
    <w:link w:val="Textodenotadefim"/>
    <w:uiPriority w:val="99"/>
    <w:semiHidden/>
    <w:qFormat/>
    <w:rsid w:val="00823ef6"/>
    <w:rPr>
      <w:sz w:val="20"/>
      <w:szCs w:val="18"/>
    </w:rPr>
  </w:style>
  <w:style w:type="character" w:styleId="Ncoradanotadefim" w:customStyle="1">
    <w:name w:val="Âncora da nota de fim"/>
    <w:rPr>
      <w:vertAlign w:val="superscript"/>
    </w:rPr>
  </w:style>
  <w:style w:type="character" w:styleId="EndnoteCharacters" w:customStyle="1">
    <w:name w:val="Endnote Characters"/>
    <w:basedOn w:val="DefaultParagraphFont"/>
    <w:uiPriority w:val="99"/>
    <w:semiHidden/>
    <w:unhideWhenUsed/>
    <w:qFormat/>
    <w:rsid w:val="00823ef6"/>
    <w:rPr>
      <w:vertAlign w:val="superscript"/>
    </w:rPr>
  </w:style>
  <w:style w:type="character" w:styleId="Strong">
    <w:name w:val="Strong"/>
    <w:basedOn w:val="DefaultParagraphFont"/>
    <w:uiPriority w:val="22"/>
    <w:qFormat/>
    <w:rsid w:val="00850bf0"/>
    <w:rPr>
      <w:b/>
      <w:bCs/>
    </w:rPr>
  </w:style>
  <w:style w:type="character" w:styleId="ListLabel1" w:customStyle="1">
    <w:name w:val="ListLabel 1"/>
    <w:qFormat/>
    <w:rPr>
      <w:rFonts w:cs="Symbol"/>
    </w:rPr>
  </w:style>
  <w:style w:type="character" w:styleId="ListLabel2" w:customStyle="1">
    <w:name w:val="ListLabel 2"/>
    <w:qFormat/>
    <w:rPr>
      <w:rFonts w:cs="Courier New"/>
    </w:rPr>
  </w:style>
  <w:style w:type="character" w:styleId="ListLabel3" w:customStyle="1">
    <w:name w:val="ListLabel 3"/>
    <w:qFormat/>
    <w:rPr>
      <w:rFonts w:cs="Wingdings"/>
    </w:rPr>
  </w:style>
  <w:style w:type="character" w:styleId="ListLabel4" w:customStyle="1">
    <w:name w:val="ListLabel 4"/>
    <w:qFormat/>
    <w:rPr>
      <w:rFonts w:cs="Symbol"/>
    </w:rPr>
  </w:style>
  <w:style w:type="character" w:styleId="ListLabel5" w:customStyle="1">
    <w:name w:val="ListLabel 5"/>
    <w:qFormat/>
    <w:rPr>
      <w:rFonts w:cs="Courier New"/>
    </w:rPr>
  </w:style>
  <w:style w:type="character" w:styleId="ListLabel6" w:customStyle="1">
    <w:name w:val="ListLabel 6"/>
    <w:qFormat/>
    <w:rPr>
      <w:rFonts w:cs="Wingdings"/>
    </w:rPr>
  </w:style>
  <w:style w:type="character" w:styleId="ListLabel7" w:customStyle="1">
    <w:name w:val="ListLabel 7"/>
    <w:qFormat/>
    <w:rPr>
      <w:rFonts w:cs="Symbol"/>
    </w:rPr>
  </w:style>
  <w:style w:type="character" w:styleId="ListLabel8" w:customStyle="1">
    <w:name w:val="ListLabel 8"/>
    <w:qFormat/>
    <w:rPr>
      <w:rFonts w:cs="Courier New"/>
    </w:rPr>
  </w:style>
  <w:style w:type="character" w:styleId="ListLabel9" w:customStyle="1">
    <w:name w:val="ListLabel 9"/>
    <w:qFormat/>
    <w:rPr>
      <w:rFonts w:cs="Wingdings"/>
    </w:rPr>
  </w:style>
  <w:style w:type="character" w:styleId="ListLabel10" w:customStyle="1">
    <w:name w:val="ListLabel 10"/>
    <w:qFormat/>
    <w:rPr>
      <w:rFonts w:eastAsia="Times New Roman" w:cs="Times New Roman"/>
    </w:rPr>
  </w:style>
  <w:style w:type="character" w:styleId="ListLabel11" w:customStyle="1">
    <w:name w:val="ListLabel 11"/>
    <w:qFormat/>
    <w:rPr>
      <w:rFonts w:ascii="Garamond" w:hAnsi="Garamond" w:cs="Garamond"/>
      <w:b/>
      <w:bCs/>
    </w:rPr>
  </w:style>
  <w:style w:type="character" w:styleId="ListLabel12" w:customStyle="1">
    <w:name w:val="ListLabel 12"/>
    <w:qFormat/>
    <w:rPr>
      <w:rFonts w:ascii="Garamond" w:hAnsi="Garamond" w:cs="Garamond"/>
      <w:b/>
      <w:bCs/>
    </w:rPr>
  </w:style>
  <w:style w:type="character" w:styleId="ListLabel13" w:customStyle="1">
    <w:name w:val="ListLabel 13"/>
    <w:qFormat/>
    <w:rPr>
      <w:rFonts w:eastAsia="OpenSymbol" w:cs="OpenSymbol"/>
    </w:rPr>
  </w:style>
  <w:style w:type="character" w:styleId="ListLabel14" w:customStyle="1">
    <w:name w:val="ListLabel 14"/>
    <w:qFormat/>
    <w:rPr>
      <w:rFonts w:eastAsia="OpenSymbol" w:cs="OpenSymbol"/>
    </w:rPr>
  </w:style>
  <w:style w:type="character" w:styleId="ListLabel15" w:customStyle="1">
    <w:name w:val="ListLabel 15"/>
    <w:qFormat/>
    <w:rPr>
      <w:rFonts w:eastAsia="OpenSymbol" w:cs="OpenSymbol"/>
    </w:rPr>
  </w:style>
  <w:style w:type="character" w:styleId="ListLabel16" w:customStyle="1">
    <w:name w:val="ListLabel 16"/>
    <w:qFormat/>
    <w:rPr>
      <w:rFonts w:eastAsia="OpenSymbol" w:cs="OpenSymbol"/>
    </w:rPr>
  </w:style>
  <w:style w:type="character" w:styleId="ListLabel17" w:customStyle="1">
    <w:name w:val="ListLabel 17"/>
    <w:qFormat/>
    <w:rPr>
      <w:rFonts w:eastAsia="OpenSymbol" w:cs="OpenSymbol"/>
    </w:rPr>
  </w:style>
  <w:style w:type="character" w:styleId="ListLabel18" w:customStyle="1">
    <w:name w:val="ListLabel 18"/>
    <w:qFormat/>
    <w:rPr>
      <w:rFonts w:eastAsia="OpenSymbol" w:cs="OpenSymbol"/>
    </w:rPr>
  </w:style>
  <w:style w:type="character" w:styleId="ListLabel19" w:customStyle="1">
    <w:name w:val="ListLabel 19"/>
    <w:qFormat/>
    <w:rPr>
      <w:rFonts w:eastAsia="OpenSymbol" w:cs="OpenSymbol"/>
    </w:rPr>
  </w:style>
  <w:style w:type="character" w:styleId="ListLabel20" w:customStyle="1">
    <w:name w:val="ListLabel 20"/>
    <w:qFormat/>
    <w:rPr>
      <w:rFonts w:eastAsia="OpenSymbol" w:cs="OpenSymbol"/>
    </w:rPr>
  </w:style>
  <w:style w:type="character" w:styleId="ListLabel21" w:customStyle="1">
    <w:name w:val="ListLabel 21"/>
    <w:qFormat/>
    <w:rPr>
      <w:rFonts w:eastAsia="OpenSymbol" w:cs="OpenSymbol"/>
    </w:rPr>
  </w:style>
  <w:style w:type="character" w:styleId="ListLabel22" w:customStyle="1">
    <w:name w:val="ListLabel 22"/>
    <w:qFormat/>
    <w:rPr>
      <w:rFonts w:cs="Garamond"/>
      <w:b/>
      <w:bCs/>
    </w:rPr>
  </w:style>
  <w:style w:type="character" w:styleId="ListLabel23" w:customStyle="1">
    <w:name w:val="ListLabel 23"/>
    <w:qFormat/>
    <w:rPr>
      <w:rFonts w:cs="Garamond"/>
      <w:b/>
      <w:bCs/>
    </w:rPr>
  </w:style>
  <w:style w:type="character" w:styleId="ListLabel24" w:customStyle="1">
    <w:name w:val="ListLabel 24"/>
    <w:qFormat/>
    <w:rPr>
      <w:rFonts w:cs="Garamond"/>
      <w:b/>
      <w:bCs/>
    </w:rPr>
  </w:style>
  <w:style w:type="character" w:styleId="ListLabel25" w:customStyle="1">
    <w:name w:val="ListLabel 25"/>
    <w:qFormat/>
    <w:rPr>
      <w:rFonts w:cs="Courier New"/>
    </w:rPr>
  </w:style>
  <w:style w:type="character" w:styleId="ListLabel26" w:customStyle="1">
    <w:name w:val="ListLabel 26"/>
    <w:qFormat/>
    <w:rPr>
      <w:rFonts w:cs="Courier New"/>
    </w:rPr>
  </w:style>
  <w:style w:type="character" w:styleId="ListLabel27" w:customStyle="1">
    <w:name w:val="ListLabel 27"/>
    <w:qFormat/>
    <w:rPr>
      <w:rFonts w:cs="Courier New"/>
    </w:rPr>
  </w:style>
  <w:style w:type="character" w:styleId="ListLabel28" w:customStyle="1">
    <w:name w:val="ListLabel 28"/>
    <w:qFormat/>
    <w:rPr>
      <w:rFonts w:cs="Courier New"/>
    </w:rPr>
  </w:style>
  <w:style w:type="character" w:styleId="ListLabel29" w:customStyle="1">
    <w:name w:val="ListLabel 29"/>
    <w:qFormat/>
    <w:rPr>
      <w:rFonts w:cs="Courier New"/>
    </w:rPr>
  </w:style>
  <w:style w:type="character" w:styleId="ListLabel30" w:customStyle="1">
    <w:name w:val="ListLabel 30"/>
    <w:qFormat/>
    <w:rPr>
      <w:rFonts w:cs="Courier New"/>
    </w:rPr>
  </w:style>
  <w:style w:type="character" w:styleId="ListLabel31" w:customStyle="1">
    <w:name w:val="ListLabel 31"/>
    <w:qFormat/>
    <w:rPr>
      <w:rFonts w:cs="Courier New"/>
    </w:rPr>
  </w:style>
  <w:style w:type="character" w:styleId="ListLabel32" w:customStyle="1">
    <w:name w:val="ListLabel 32"/>
    <w:qFormat/>
    <w:rPr>
      <w:rFonts w:cs="Courier New"/>
    </w:rPr>
  </w:style>
  <w:style w:type="character" w:styleId="ListLabel33" w:customStyle="1">
    <w:name w:val="ListLabel 33"/>
    <w:qFormat/>
    <w:rPr>
      <w:rFonts w:cs="Courier New"/>
    </w:rPr>
  </w:style>
  <w:style w:type="character" w:styleId="ListLabel34" w:customStyle="1">
    <w:name w:val="ListLabel 34"/>
    <w:qFormat/>
    <w:rPr>
      <w:rFonts w:cs="Courier New"/>
    </w:rPr>
  </w:style>
  <w:style w:type="character" w:styleId="ListLabel35" w:customStyle="1">
    <w:name w:val="ListLabel 35"/>
    <w:qFormat/>
    <w:rPr>
      <w:rFonts w:cs="Courier New"/>
    </w:rPr>
  </w:style>
  <w:style w:type="character" w:styleId="ListLabel36" w:customStyle="1">
    <w:name w:val="ListLabel 36"/>
    <w:qFormat/>
    <w:rPr>
      <w:rFonts w:cs="Courier New"/>
    </w:rPr>
  </w:style>
  <w:style w:type="character" w:styleId="ListLabel37" w:customStyle="1">
    <w:name w:val="ListLabel 37"/>
    <w:qFormat/>
    <w:rPr>
      <w:rFonts w:cs="Courier New"/>
    </w:rPr>
  </w:style>
  <w:style w:type="character" w:styleId="ListLabel38" w:customStyle="1">
    <w:name w:val="ListLabel 38"/>
    <w:qFormat/>
    <w:rPr>
      <w:rFonts w:cs="Courier New"/>
    </w:rPr>
  </w:style>
  <w:style w:type="character" w:styleId="ListLabel39" w:customStyle="1">
    <w:name w:val="ListLabel 39"/>
    <w:qFormat/>
    <w:rPr>
      <w:rFonts w:cs="Courier New"/>
    </w:rPr>
  </w:style>
  <w:style w:type="character" w:styleId="ListLabel40" w:customStyle="1">
    <w:name w:val="ListLabel 40"/>
    <w:qFormat/>
    <w:rPr>
      <w:rFonts w:cs="Courier New"/>
    </w:rPr>
  </w:style>
  <w:style w:type="character" w:styleId="ListLabel41" w:customStyle="1">
    <w:name w:val="ListLabel 41"/>
    <w:qFormat/>
    <w:rPr>
      <w:rFonts w:cs="Courier New"/>
    </w:rPr>
  </w:style>
  <w:style w:type="character" w:styleId="ListLabel42" w:customStyle="1">
    <w:name w:val="ListLabel 42"/>
    <w:qFormat/>
    <w:rPr>
      <w:rFonts w:cs="Courier New"/>
    </w:rPr>
  </w:style>
  <w:style w:type="character" w:styleId="ListLabel43" w:customStyle="1">
    <w:name w:val="ListLabel 43"/>
    <w:qFormat/>
    <w:rPr>
      <w:rFonts w:cs="Courier New"/>
    </w:rPr>
  </w:style>
  <w:style w:type="character" w:styleId="ListLabel44" w:customStyle="1">
    <w:name w:val="ListLabel 44"/>
    <w:qFormat/>
    <w:rPr>
      <w:rFonts w:cs="Courier New"/>
    </w:rPr>
  </w:style>
  <w:style w:type="character" w:styleId="ListLabel45" w:customStyle="1">
    <w:name w:val="ListLabel 45"/>
    <w:qFormat/>
    <w:rPr>
      <w:rFonts w:cs="Courier New"/>
    </w:rPr>
  </w:style>
  <w:style w:type="character" w:styleId="ListLabel46" w:customStyle="1">
    <w:name w:val="ListLabel 46"/>
    <w:qFormat/>
    <w:rPr>
      <w:rFonts w:cs="Courier New"/>
    </w:rPr>
  </w:style>
  <w:style w:type="character" w:styleId="ListLabel47" w:customStyle="1">
    <w:name w:val="ListLabel 47"/>
    <w:qFormat/>
    <w:rPr>
      <w:rFonts w:cs="Courier New"/>
    </w:rPr>
  </w:style>
  <w:style w:type="character" w:styleId="ListLabel48" w:customStyle="1">
    <w:name w:val="ListLabel 48"/>
    <w:qFormat/>
    <w:rPr>
      <w:rFonts w:cs="Courier New"/>
    </w:rPr>
  </w:style>
  <w:style w:type="character" w:styleId="ListLabel49" w:customStyle="1">
    <w:name w:val="ListLabel 49"/>
    <w:qFormat/>
    <w:rPr>
      <w:rFonts w:cs="Courier New"/>
    </w:rPr>
  </w:style>
  <w:style w:type="character" w:styleId="ListLabel50" w:customStyle="1">
    <w:name w:val="ListLabel 50"/>
    <w:qFormat/>
    <w:rPr>
      <w:rFonts w:cs="Courier New"/>
    </w:rPr>
  </w:style>
  <w:style w:type="character" w:styleId="ListLabel51" w:customStyle="1">
    <w:name w:val="ListLabel 51"/>
    <w:qFormat/>
    <w:rPr>
      <w:rFonts w:cs="Courier New"/>
    </w:rPr>
  </w:style>
  <w:style w:type="character" w:styleId="ListLabel52" w:customStyle="1">
    <w:name w:val="ListLabel 52"/>
    <w:qFormat/>
    <w:rPr>
      <w:rFonts w:ascii="Garamond" w:hAnsi="Garamond" w:cs="Garamond"/>
      <w:b/>
      <w:bCs/>
    </w:rPr>
  </w:style>
  <w:style w:type="character" w:styleId="ListLabel53" w:customStyle="1">
    <w:name w:val="ListLabel 53"/>
    <w:qFormat/>
    <w:rPr>
      <w:rFonts w:ascii="Garamond" w:hAnsi="Garamond" w:cs="Symbol"/>
    </w:rPr>
  </w:style>
  <w:style w:type="character" w:styleId="ListLabel54" w:customStyle="1">
    <w:name w:val="ListLabel 54"/>
    <w:qFormat/>
    <w:rPr>
      <w:rFonts w:cs="Courier New"/>
    </w:rPr>
  </w:style>
  <w:style w:type="character" w:styleId="ListLabel55" w:customStyle="1">
    <w:name w:val="ListLabel 55"/>
    <w:qFormat/>
    <w:rPr>
      <w:rFonts w:cs="Wingdings"/>
    </w:rPr>
  </w:style>
  <w:style w:type="character" w:styleId="ListLabel56" w:customStyle="1">
    <w:name w:val="ListLabel 56"/>
    <w:qFormat/>
    <w:rPr>
      <w:rFonts w:cs="Symbol"/>
    </w:rPr>
  </w:style>
  <w:style w:type="character" w:styleId="ListLabel57" w:customStyle="1">
    <w:name w:val="ListLabel 57"/>
    <w:qFormat/>
    <w:rPr>
      <w:rFonts w:cs="Courier New"/>
    </w:rPr>
  </w:style>
  <w:style w:type="character" w:styleId="ListLabel58" w:customStyle="1">
    <w:name w:val="ListLabel 58"/>
    <w:qFormat/>
    <w:rPr>
      <w:rFonts w:cs="Wingdings"/>
    </w:rPr>
  </w:style>
  <w:style w:type="character" w:styleId="ListLabel59" w:customStyle="1">
    <w:name w:val="ListLabel 59"/>
    <w:qFormat/>
    <w:rPr>
      <w:rFonts w:cs="Symbol"/>
    </w:rPr>
  </w:style>
  <w:style w:type="character" w:styleId="ListLabel60" w:customStyle="1">
    <w:name w:val="ListLabel 60"/>
    <w:qFormat/>
    <w:rPr>
      <w:rFonts w:cs="Courier New"/>
    </w:rPr>
  </w:style>
  <w:style w:type="character" w:styleId="ListLabel61" w:customStyle="1">
    <w:name w:val="ListLabel 61"/>
    <w:qFormat/>
    <w:rPr>
      <w:rFonts w:cs="Wingdings"/>
    </w:rPr>
  </w:style>
  <w:style w:type="character" w:styleId="Caracteresdenotadefim" w:customStyle="1">
    <w:name w:val="Caracteres de nota de fim"/>
    <w:qFormat/>
    <w:rPr/>
  </w:style>
  <w:style w:type="character" w:styleId="ListLabel62" w:customStyle="1">
    <w:name w:val="ListLabel 62"/>
    <w:qFormat/>
    <w:rPr>
      <w:rFonts w:ascii="Garamond" w:hAnsi="Garamond" w:cs="Symbol"/>
    </w:rPr>
  </w:style>
  <w:style w:type="character" w:styleId="ListLabel63" w:customStyle="1">
    <w:name w:val="ListLabel 63"/>
    <w:qFormat/>
    <w:rPr>
      <w:rFonts w:cs="Courier New"/>
    </w:rPr>
  </w:style>
  <w:style w:type="character" w:styleId="ListLabel64" w:customStyle="1">
    <w:name w:val="ListLabel 64"/>
    <w:qFormat/>
    <w:rPr>
      <w:rFonts w:cs="Wingdings"/>
    </w:rPr>
  </w:style>
  <w:style w:type="character" w:styleId="ListLabel65" w:customStyle="1">
    <w:name w:val="ListLabel 65"/>
    <w:qFormat/>
    <w:rPr>
      <w:rFonts w:cs="Symbol"/>
    </w:rPr>
  </w:style>
  <w:style w:type="character" w:styleId="ListLabel66" w:customStyle="1">
    <w:name w:val="ListLabel 66"/>
    <w:qFormat/>
    <w:rPr>
      <w:rFonts w:cs="Courier New"/>
    </w:rPr>
  </w:style>
  <w:style w:type="character" w:styleId="ListLabel67" w:customStyle="1">
    <w:name w:val="ListLabel 67"/>
    <w:qFormat/>
    <w:rPr>
      <w:rFonts w:cs="Wingdings"/>
    </w:rPr>
  </w:style>
  <w:style w:type="character" w:styleId="ListLabel68" w:customStyle="1">
    <w:name w:val="ListLabel 68"/>
    <w:qFormat/>
    <w:rPr>
      <w:rFonts w:cs="Symbol"/>
    </w:rPr>
  </w:style>
  <w:style w:type="character" w:styleId="ListLabel69" w:customStyle="1">
    <w:name w:val="ListLabel 69"/>
    <w:qFormat/>
    <w:rPr>
      <w:rFonts w:cs="Courier New"/>
    </w:rPr>
  </w:style>
  <w:style w:type="character" w:styleId="ListLabel70" w:customStyle="1">
    <w:name w:val="ListLabel 70"/>
    <w:qFormat/>
    <w:rPr>
      <w:rFonts w:cs="Wingdings"/>
    </w:rPr>
  </w:style>
  <w:style w:type="character" w:styleId="ListLabel71">
    <w:name w:val="ListLabel 71"/>
    <w:qFormat/>
    <w:rPr>
      <w:rFonts w:cs="Symbol"/>
    </w:rPr>
  </w:style>
  <w:style w:type="character" w:styleId="ListLabel72">
    <w:name w:val="ListLabel 72"/>
    <w:qFormat/>
    <w:rPr>
      <w:rFonts w:cs="Courier New"/>
    </w:rPr>
  </w:style>
  <w:style w:type="character" w:styleId="ListLabel73">
    <w:name w:val="ListLabel 73"/>
    <w:qFormat/>
    <w:rPr>
      <w:rFonts w:cs="Wingdings"/>
    </w:rPr>
  </w:style>
  <w:style w:type="character" w:styleId="ListLabel74">
    <w:name w:val="ListLabel 74"/>
    <w:qFormat/>
    <w:rPr>
      <w:rFonts w:cs="Symbol"/>
    </w:rPr>
  </w:style>
  <w:style w:type="character" w:styleId="ListLabel75">
    <w:name w:val="ListLabel 75"/>
    <w:qFormat/>
    <w:rPr>
      <w:rFonts w:cs="Courier New"/>
    </w:rPr>
  </w:style>
  <w:style w:type="character" w:styleId="ListLabel76">
    <w:name w:val="ListLabel 76"/>
    <w:qFormat/>
    <w:rPr>
      <w:rFonts w:cs="Wingdings"/>
    </w:rPr>
  </w:style>
  <w:style w:type="character" w:styleId="ListLabel77">
    <w:name w:val="ListLabel 77"/>
    <w:qFormat/>
    <w:rPr>
      <w:rFonts w:cs="Symbol"/>
    </w:rPr>
  </w:style>
  <w:style w:type="character" w:styleId="ListLabel78">
    <w:name w:val="ListLabel 78"/>
    <w:qFormat/>
    <w:rPr>
      <w:rFonts w:cs="Courier New"/>
    </w:rPr>
  </w:style>
  <w:style w:type="character" w:styleId="ListLabel79">
    <w:name w:val="ListLabel 79"/>
    <w:qFormat/>
    <w:rPr>
      <w:rFonts w:cs="Wingdings"/>
    </w:rPr>
  </w:style>
  <w:style w:type="paragraph" w:styleId="Ttulo">
    <w:name w:val="Título"/>
    <w:basedOn w:val="Normal"/>
    <w:next w:val="Corpodetexto"/>
    <w:qFormat/>
    <w:pPr>
      <w:keepNext/>
      <w:spacing w:before="240" w:after="120"/>
    </w:pPr>
    <w:rPr>
      <w:rFonts w:ascii="Liberation Sans" w:hAnsi="Liberation Sans" w:eastAsia="Microsoft YaHei" w:cs="Arial Unicode MS"/>
      <w:sz w:val="28"/>
      <w:szCs w:val="28"/>
    </w:rPr>
  </w:style>
  <w:style w:type="paragraph" w:styleId="Corpodetexto">
    <w:name w:val="Body Text"/>
    <w:basedOn w:val="Normal"/>
    <w:link w:val="CorpodetextoChar"/>
    <w:uiPriority w:val="99"/>
    <w:semiHidden/>
    <w:unhideWhenUsed/>
    <w:rsid w:val="00d143c7"/>
    <w:pPr>
      <w:spacing w:before="0" w:after="120"/>
    </w:pPr>
    <w:rPr>
      <w:szCs w:val="21"/>
    </w:rPr>
  </w:style>
  <w:style w:type="paragraph" w:styleId="Lista">
    <w:name w:val="List"/>
    <w:basedOn w:val="Normal"/>
    <w:pPr>
      <w:widowControl w:val="false"/>
    </w:pPr>
    <w:rPr/>
  </w:style>
  <w:style w:type="paragraph" w:styleId="Legenda">
    <w:name w:val="Caption"/>
    <w:basedOn w:val="Normal"/>
    <w:qFormat/>
    <w:pPr>
      <w:suppressLineNumbers/>
      <w:spacing w:before="120" w:after="120"/>
    </w:pPr>
    <w:rPr>
      <w:rFonts w:cs="Arial Unicode MS"/>
      <w:i/>
      <w:iCs/>
      <w:sz w:val="24"/>
      <w:szCs w:val="24"/>
    </w:rPr>
  </w:style>
  <w:style w:type="paragraph" w:styleId="Ndice" w:customStyle="1">
    <w:name w:val="Índice"/>
    <w:basedOn w:val="Normal"/>
    <w:qFormat/>
    <w:pPr>
      <w:widowControl w:val="false"/>
      <w:suppressLineNumbers/>
    </w:pPr>
    <w:rPr/>
  </w:style>
  <w:style w:type="paragraph" w:styleId="Ttulododocumento">
    <w:name w:val="Title"/>
    <w:basedOn w:val="Ttulo"/>
    <w:qFormat/>
    <w:pPr>
      <w:keepNext/>
      <w:widowControl w:val="false"/>
      <w:bidi w:val="0"/>
      <w:spacing w:before="240" w:after="120"/>
      <w:jc w:val="left"/>
    </w:pPr>
    <w:rPr>
      <w:rFonts w:ascii="Arial" w:hAnsi="Arial" w:eastAsia="SimSun" w:cs="Mangal"/>
      <w:color w:val="00000A"/>
      <w:sz w:val="28"/>
      <w:szCs w:val="28"/>
      <w:lang w:val="pt-BR" w:eastAsia="zh-CN" w:bidi="hi-IN"/>
    </w:rPr>
  </w:style>
  <w:style w:type="paragraph" w:styleId="Caption">
    <w:name w:val="caption"/>
    <w:qFormat/>
    <w:pPr>
      <w:widowControl w:val="false"/>
      <w:suppressLineNumbers/>
      <w:bidi w:val="0"/>
      <w:spacing w:before="120" w:after="120"/>
      <w:jc w:val="left"/>
    </w:pPr>
    <w:rPr>
      <w:rFonts w:ascii="Times New Roman" w:hAnsi="Times New Roman" w:eastAsia="SimSun" w:cs="Mangal"/>
      <w:i/>
      <w:iCs/>
      <w:color w:val="00000A"/>
      <w:sz w:val="24"/>
      <w:szCs w:val="24"/>
      <w:lang w:val="pt-BR" w:eastAsia="zh-CN" w:bidi="hi-IN"/>
    </w:rPr>
  </w:style>
  <w:style w:type="paragraph" w:styleId="Standard" w:customStyle="1">
    <w:name w:val="Standard"/>
    <w:qFormat/>
    <w:pPr>
      <w:widowControl/>
      <w:bidi w:val="0"/>
      <w:jc w:val="left"/>
    </w:pPr>
    <w:rPr>
      <w:rFonts w:ascii="Times New Roman" w:hAnsi="Times New Roman" w:eastAsia="Times New Roman" w:cs="Times New Roman"/>
      <w:color w:val="00000A"/>
      <w:sz w:val="24"/>
      <w:szCs w:val="24"/>
      <w:lang w:val="pt-BR" w:eastAsia="zh-CN" w:bidi="ar-SA"/>
    </w:rPr>
  </w:style>
  <w:style w:type="paragraph" w:styleId="Textbody" w:customStyle="1">
    <w:name w:val="Text body"/>
    <w:basedOn w:val="Standard"/>
    <w:qFormat/>
    <w:pPr>
      <w:spacing w:before="0" w:after="120"/>
    </w:pPr>
    <w:rPr/>
  </w:style>
  <w:style w:type="paragraph" w:styleId="Subttulo">
    <w:name w:val="Subtitle"/>
    <w:basedOn w:val="Ttulododocumento"/>
    <w:qFormat/>
    <w:pPr>
      <w:jc w:val="center"/>
    </w:pPr>
    <w:rPr>
      <w:i/>
      <w:iCs/>
    </w:rPr>
  </w:style>
  <w:style w:type="paragraph" w:styleId="Footnote" w:customStyle="1">
    <w:name w:val="Footnote"/>
    <w:basedOn w:val="Standard"/>
    <w:qFormat/>
    <w:pPr/>
    <w:rPr>
      <w:sz w:val="20"/>
      <w:szCs w:val="20"/>
    </w:rPr>
  </w:style>
  <w:style w:type="paragraph" w:styleId="BodyText3">
    <w:name w:val="Body Text 3"/>
    <w:basedOn w:val="Normal"/>
    <w:qFormat/>
    <w:pPr>
      <w:jc w:val="both"/>
    </w:pPr>
    <w:rPr/>
  </w:style>
  <w:style w:type="paragraph" w:styleId="Cabealho">
    <w:name w:val="Header"/>
    <w:basedOn w:val="Standard"/>
    <w:pPr>
      <w:tabs>
        <w:tab w:val="center" w:pos="4419" w:leader="none"/>
        <w:tab w:val="right" w:pos="8838" w:leader="none"/>
      </w:tabs>
    </w:pPr>
    <w:rPr/>
  </w:style>
  <w:style w:type="paragraph" w:styleId="Rodap">
    <w:name w:val="Footer"/>
    <w:basedOn w:val="Standard"/>
    <w:pPr>
      <w:tabs>
        <w:tab w:val="center" w:pos="4419" w:leader="none"/>
        <w:tab w:val="right" w:pos="8838" w:leader="none"/>
      </w:tabs>
    </w:pPr>
    <w:rPr/>
  </w:style>
  <w:style w:type="paragraph" w:styleId="NormalWeb">
    <w:name w:val="Normal (Web)"/>
    <w:basedOn w:val="Standard"/>
    <w:qFormat/>
    <w:pPr>
      <w:spacing w:before="280" w:after="280"/>
    </w:pPr>
    <w:rPr>
      <w:rFonts w:ascii="Arial Unicode MS" w:hAnsi="Arial Unicode MS" w:eastAsia="Arial Unicode MS" w:cs="Arial Unicode MS"/>
    </w:rPr>
  </w:style>
  <w:style w:type="paragraph" w:styleId="Contedodatabela" w:customStyle="1">
    <w:name w:val="Conteúdo da tabela"/>
    <w:basedOn w:val="Standard"/>
    <w:qFormat/>
    <w:pPr>
      <w:suppressLineNumbers/>
    </w:pPr>
    <w:rPr/>
  </w:style>
  <w:style w:type="paragraph" w:styleId="Ttulodetabela" w:customStyle="1">
    <w:name w:val="Título de tabela"/>
    <w:basedOn w:val="Standard"/>
    <w:qFormat/>
    <w:pPr>
      <w:suppressLineNumbers/>
      <w:jc w:val="center"/>
    </w:pPr>
    <w:rPr>
      <w:b/>
      <w:bCs/>
    </w:rPr>
  </w:style>
  <w:style w:type="paragraph" w:styleId="BodyTextIndent3">
    <w:name w:val="Body Text Indent 3"/>
    <w:basedOn w:val="Normal"/>
    <w:qFormat/>
    <w:pPr>
      <w:ind w:left="240" w:firstLine="468"/>
      <w:jc w:val="both"/>
    </w:pPr>
    <w:rPr/>
  </w:style>
  <w:style w:type="paragraph" w:styleId="Msobodyte0pt" w:customStyle="1">
    <w:name w:val="msobodyte.0pt"/>
    <w:basedOn w:val="Standard"/>
    <w:qFormat/>
    <w:pPr>
      <w:spacing w:before="280" w:after="280"/>
    </w:pPr>
    <w:rPr>
      <w:rFonts w:ascii="Arial Unicode MS" w:hAnsi="Arial Unicode MS" w:eastAsia="Arial Unicode MS" w:cs="Arial Unicode MS"/>
      <w:color w:val="000000"/>
    </w:rPr>
  </w:style>
  <w:style w:type="paragraph" w:styleId="Msobodytex0pt" w:customStyle="1">
    <w:name w:val="msobodytex.0pt"/>
    <w:basedOn w:val="Standard"/>
    <w:qFormat/>
    <w:pPr>
      <w:spacing w:before="280" w:after="280"/>
    </w:pPr>
    <w:rPr>
      <w:rFonts w:ascii="Arial Unicode MS" w:hAnsi="Arial Unicode MS" w:eastAsia="Arial Unicode MS" w:cs="Arial Unicode MS"/>
      <w:color w:val="000000"/>
    </w:rPr>
  </w:style>
  <w:style w:type="paragraph" w:styleId="PlainText">
    <w:name w:val="Plain Text"/>
    <w:basedOn w:val="Standard"/>
    <w:qFormat/>
    <w:pPr/>
    <w:rPr>
      <w:rFonts w:ascii="Courier New" w:hAnsi="Courier New" w:cs="Courier New"/>
      <w:sz w:val="20"/>
      <w:szCs w:val="20"/>
    </w:rPr>
  </w:style>
  <w:style w:type="paragraph" w:styleId="Style31" w:customStyle="1">
    <w:name w:val="style3"/>
    <w:basedOn w:val="Standard"/>
    <w:qFormat/>
    <w:pPr>
      <w:spacing w:before="280" w:after="280"/>
    </w:pPr>
    <w:rPr/>
  </w:style>
  <w:style w:type="paragraph" w:styleId="Textbodyindent" w:customStyle="1">
    <w:name w:val="Text body indent"/>
    <w:basedOn w:val="Standard"/>
    <w:qFormat/>
    <w:pPr>
      <w:ind w:left="1701" w:firstLine="709"/>
      <w:jc w:val="both"/>
    </w:pPr>
    <w:rPr>
      <w:rFonts w:ascii="Garamond" w:hAnsi="Garamond" w:cs="Garamond"/>
    </w:rPr>
  </w:style>
  <w:style w:type="paragraph" w:styleId="BodyTextIndent2">
    <w:name w:val="Body Text Indent 2"/>
    <w:basedOn w:val="Standard"/>
    <w:qFormat/>
    <w:pPr>
      <w:ind w:firstLine="374"/>
      <w:jc w:val="both"/>
    </w:pPr>
    <w:rPr>
      <w:rFonts w:ascii="Garamond" w:hAnsi="Garamond" w:cs="Garamond"/>
    </w:rPr>
  </w:style>
  <w:style w:type="paragraph" w:styleId="Contedodoquadro" w:customStyle="1">
    <w:name w:val="Conteúdo do quadro"/>
    <w:basedOn w:val="Textbody"/>
    <w:qFormat/>
    <w:pPr/>
    <w:rPr/>
  </w:style>
  <w:style w:type="paragraph" w:styleId="BalloonText">
    <w:name w:val="Balloon Text"/>
    <w:basedOn w:val="Normal"/>
    <w:link w:val="TextodebaloChar"/>
    <w:uiPriority w:val="99"/>
    <w:semiHidden/>
    <w:unhideWhenUsed/>
    <w:qFormat/>
    <w:rsid w:val="00222120"/>
    <w:pPr/>
    <w:rPr>
      <w:rFonts w:ascii="Tahoma" w:hAnsi="Tahoma"/>
      <w:sz w:val="16"/>
      <w:szCs w:val="14"/>
    </w:rPr>
  </w:style>
  <w:style w:type="paragraph" w:styleId="ListParagraph">
    <w:name w:val="List Paragraph"/>
    <w:basedOn w:val="Normal"/>
    <w:uiPriority w:val="34"/>
    <w:qFormat/>
    <w:rsid w:val="00222120"/>
    <w:pPr>
      <w:spacing w:before="0" w:after="0"/>
      <w:ind w:left="720" w:hanging="0"/>
      <w:contextualSpacing/>
    </w:pPr>
    <w:rPr>
      <w:szCs w:val="21"/>
    </w:rPr>
  </w:style>
  <w:style w:type="paragraph" w:styleId="Footnotetext">
    <w:name w:val="footnote text"/>
    <w:basedOn w:val="Normal"/>
    <w:link w:val="TextodenotaderodapChar"/>
    <w:semiHidden/>
    <w:qFormat/>
    <w:rsid w:val="005542cf"/>
    <w:pPr>
      <w:suppressAutoHyphens w:val="false"/>
      <w:textAlignment w:val="auto"/>
    </w:pPr>
    <w:rPr>
      <w:rFonts w:eastAsia="Times New Roman" w:cs="Times New Roman"/>
      <w:sz w:val="20"/>
      <w:szCs w:val="20"/>
      <w:lang w:eastAsia="pt-BR" w:bidi="ar-SA"/>
    </w:rPr>
  </w:style>
  <w:style w:type="paragraph" w:styleId="Endnotetext">
    <w:name w:val="endnote text"/>
    <w:basedOn w:val="Normal"/>
    <w:link w:val="TextodenotadefimChar"/>
    <w:uiPriority w:val="99"/>
    <w:semiHidden/>
    <w:unhideWhenUsed/>
    <w:qFormat/>
    <w:rsid w:val="00823ef6"/>
    <w:pPr/>
    <w:rPr>
      <w:sz w:val="20"/>
      <w:szCs w:val="18"/>
    </w:rPr>
  </w:style>
  <w:style w:type="paragraph" w:styleId="Default" w:customStyle="1">
    <w:name w:val="Default"/>
    <w:qFormat/>
    <w:rsid w:val="00764aa1"/>
    <w:pPr>
      <w:widowControl/>
      <w:bidi w:val="0"/>
      <w:jc w:val="left"/>
    </w:pPr>
    <w:rPr>
      <w:rFonts w:ascii="Times New Roman" w:hAnsi="Times New Roman" w:eastAsia="SimSun" w:cs="Times New Roman"/>
      <w:color w:val="000000"/>
      <w:sz w:val="24"/>
      <w:szCs w:val="24"/>
      <w:lang w:val="pt-BR" w:eastAsia="zh-CN" w:bidi="ar-SA"/>
    </w:rPr>
  </w:style>
  <w:style w:type="paragraph" w:styleId="Corpodetextorecuado">
    <w:name w:val="Body Text Indent"/>
    <w:basedOn w:val="Normal"/>
    <w:pPr>
      <w:spacing w:lineRule="auto" w:line="360"/>
      <w:ind w:left="1418" w:hanging="0"/>
      <w:jc w:val="both"/>
    </w:pPr>
    <w:rPr>
      <w:rFonts w:ascii="Arial" w:hAnsi="Arial" w:cs="Arial"/>
      <w:b/>
      <w:i/>
      <w:sz w:val="22"/>
      <w:szCs w:val="20"/>
    </w:rPr>
  </w:style>
  <w:style w:type="paragraph" w:styleId="Notaderodap">
    <w:name w:val="Footnote Text"/>
    <w:basedOn w:val="Normal"/>
    <w:pPr/>
    <w:rPr/>
  </w:style>
  <w:style w:type="paragraph" w:styleId="Ttulo11">
    <w:name w:val="Título1"/>
    <w:basedOn w:val="Normal"/>
    <w:qFormat/>
    <w:pPr>
      <w:keepNext/>
      <w:spacing w:before="240" w:after="120"/>
    </w:pPr>
    <w:rPr>
      <w:rFonts w:ascii="Arial" w:hAnsi="Arial" w:cs="Arial"/>
      <w:sz w:val="28"/>
      <w:szCs w:val="28"/>
    </w:rPr>
  </w:style>
  <w:style w:type="paragraph" w:styleId="WWTtulo">
    <w:name w:val="WW-Título"/>
    <w:basedOn w:val="Ttulo11"/>
    <w:qFormat/>
    <w:pPr/>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numbering" w:styleId="WW8Num4" w:customStyle="1">
    <w:name w:val="WW8Num4"/>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5542c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notes" Target="footnotes.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9.png"/>
</Relationships>
</file>

<file path=word/_rels/header1.xml.rels><?xml version="1.0" encoding="UTF-8"?>
<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7B7CA-A990-4D34-AE01-EF350B813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Application>LibreOffice/5.2.5.1$Windows_x86 LibreOffice_project/0312e1a284a7d50ca85a365c316c7abbf20a4d22</Application>
  <Pages>7</Pages>
  <Words>1868</Words>
  <Characters>10213</Characters>
  <CharactersWithSpaces>12078</CharactersWithSpaces>
  <Paragraphs>57</Paragraphs>
  <Company>Ministério Público do Estado de Minas Gerais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2019-01-23T18:00:00Z</dcterms:created>
  <dc:creator>Procuradoria Geral de Justiça de MG</dc:creator>
  <dc:description/>
  <dc:language>pt-BR</dc:language>
  <cp:lastModifiedBy/>
  <cp:lastPrinted>2018-10-30T14:19:00Z</cp:lastPrinted>
  <dcterms:modified xsi:type="dcterms:W3CDTF">2020-01-16T15:11:40Z</dcterms:modified>
  <cp:revision>44</cp:revision>
  <dc:subject/>
  <dc:title>PARECER TÉCNICO N º 05/ 2017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Ministério Público do Estado de Minas Gerais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