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845" w:rsidRPr="00AA5845" w:rsidRDefault="00AA5845" w:rsidP="00AA5845">
      <w:pPr>
        <w:spacing w:after="0" w:line="240" w:lineRule="auto"/>
        <w:ind w:left="1083"/>
        <w:jc w:val="center"/>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sz w:val="24"/>
          <w:szCs w:val="24"/>
          <w:lang w:eastAsia="pt-BR"/>
        </w:rPr>
        <w:t xml:space="preserve">LAUDO TECNICO N º </w:t>
      </w:r>
      <w:r w:rsidR="00B20965">
        <w:rPr>
          <w:rFonts w:ascii="Times New Roman" w:eastAsia="Times New Roman" w:hAnsi="Times New Roman" w:cs="Times New Roman"/>
          <w:b/>
          <w:bCs/>
          <w:sz w:val="24"/>
          <w:szCs w:val="24"/>
          <w:lang w:eastAsia="pt-BR"/>
        </w:rPr>
        <w:t>30/ 2016</w:t>
      </w:r>
      <w:bookmarkStart w:id="0" w:name="_GoBack"/>
      <w:bookmarkEnd w:id="0"/>
    </w:p>
    <w:p w:rsidR="00AA5845" w:rsidRPr="00AA5845" w:rsidRDefault="00AA5845" w:rsidP="00AA5845">
      <w:pPr>
        <w:spacing w:after="0" w:line="240" w:lineRule="auto"/>
        <w:ind w:left="1083"/>
        <w:jc w:val="center"/>
        <w:outlineLvl w:val="2"/>
        <w:rPr>
          <w:rFonts w:ascii="Times New Roman" w:eastAsia="Times New Roman" w:hAnsi="Times New Roman" w:cs="Times New Roman"/>
          <w:b/>
          <w:bCs/>
          <w:sz w:val="24"/>
          <w:szCs w:val="24"/>
          <w:lang w:eastAsia="pt-BR"/>
        </w:rPr>
      </w:pPr>
    </w:p>
    <w:p w:rsidR="00565C8F" w:rsidRPr="00565C8F" w:rsidRDefault="00AA5845" w:rsidP="00565C8F">
      <w:pPr>
        <w:keepNext/>
        <w:numPr>
          <w:ilvl w:val="0"/>
          <w:numId w:val="1"/>
        </w:numPr>
        <w:spacing w:after="0" w:line="240" w:lineRule="auto"/>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color w:val="000000"/>
          <w:sz w:val="24"/>
          <w:szCs w:val="24"/>
          <w:lang w:eastAsia="pt-BR"/>
        </w:rPr>
        <w:t>OBJETO:</w:t>
      </w:r>
      <w:r w:rsidRPr="00AA5845">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sz w:val="24"/>
          <w:szCs w:val="24"/>
          <w:lang w:eastAsia="pt-BR"/>
        </w:rPr>
        <w:t xml:space="preserve">Palacete </w:t>
      </w:r>
      <w:proofErr w:type="spellStart"/>
      <w:r>
        <w:rPr>
          <w:rFonts w:ascii="Times New Roman" w:eastAsia="Times New Roman" w:hAnsi="Times New Roman" w:cs="Times New Roman"/>
          <w:sz w:val="24"/>
          <w:szCs w:val="24"/>
          <w:lang w:eastAsia="pt-BR"/>
        </w:rPr>
        <w:t>Fellet</w:t>
      </w:r>
      <w:proofErr w:type="spellEnd"/>
      <w:r>
        <w:rPr>
          <w:rFonts w:ascii="Times New Roman" w:eastAsia="Times New Roman" w:hAnsi="Times New Roman" w:cs="Times New Roman"/>
          <w:sz w:val="24"/>
          <w:szCs w:val="24"/>
          <w:lang w:eastAsia="pt-BR"/>
        </w:rPr>
        <w:t>.</w:t>
      </w:r>
    </w:p>
    <w:p w:rsidR="00565C8F" w:rsidRDefault="00565C8F" w:rsidP="00565C8F">
      <w:pPr>
        <w:keepNext/>
        <w:spacing w:after="0" w:line="240" w:lineRule="auto"/>
        <w:ind w:left="720"/>
        <w:outlineLvl w:val="2"/>
        <w:rPr>
          <w:rFonts w:ascii="Times New Roman" w:eastAsia="Times New Roman" w:hAnsi="Times New Roman" w:cs="Times New Roman"/>
          <w:b/>
          <w:bCs/>
          <w:sz w:val="24"/>
          <w:szCs w:val="24"/>
          <w:lang w:eastAsia="pt-BR"/>
        </w:rPr>
      </w:pPr>
    </w:p>
    <w:p w:rsidR="00AA5845" w:rsidRPr="00565C8F" w:rsidRDefault="00AA5845" w:rsidP="00565C8F">
      <w:pPr>
        <w:keepNext/>
        <w:numPr>
          <w:ilvl w:val="0"/>
          <w:numId w:val="1"/>
        </w:numPr>
        <w:spacing w:after="0" w:line="240" w:lineRule="auto"/>
        <w:outlineLvl w:val="2"/>
        <w:rPr>
          <w:rFonts w:ascii="Times New Roman" w:eastAsia="Times New Roman" w:hAnsi="Times New Roman" w:cs="Times New Roman"/>
          <w:b/>
          <w:bCs/>
          <w:sz w:val="24"/>
          <w:szCs w:val="24"/>
          <w:lang w:eastAsia="pt-BR"/>
        </w:rPr>
      </w:pPr>
      <w:r w:rsidRPr="00565C8F">
        <w:rPr>
          <w:rFonts w:ascii="Times New Roman" w:eastAsia="Times New Roman" w:hAnsi="Times New Roman" w:cs="Times New Roman"/>
          <w:b/>
          <w:bCs/>
          <w:color w:val="000000"/>
          <w:sz w:val="24"/>
          <w:szCs w:val="24"/>
          <w:lang w:eastAsia="pt-BR"/>
        </w:rPr>
        <w:t>ENDEREÇO:</w:t>
      </w:r>
      <w:r w:rsidR="00565C8F" w:rsidRPr="00565C8F">
        <w:rPr>
          <w:rFonts w:ascii="Times New Roman" w:eastAsia="Times New Roman" w:hAnsi="Times New Roman" w:cs="Times New Roman"/>
          <w:sz w:val="24"/>
          <w:szCs w:val="24"/>
          <w:lang w:eastAsia="pt-BR"/>
        </w:rPr>
        <w:t xml:space="preserve"> Rua Espírito Santo, 764, centro.</w:t>
      </w:r>
    </w:p>
    <w:p w:rsidR="00AA5845" w:rsidRPr="00AA5845" w:rsidRDefault="00AA5845" w:rsidP="00AA5845">
      <w:pPr>
        <w:spacing w:after="0" w:line="240" w:lineRule="auto"/>
        <w:outlineLvl w:val="2"/>
        <w:rPr>
          <w:rFonts w:ascii="Times New Roman" w:eastAsia="Times New Roman" w:hAnsi="Times New Roman" w:cs="Times New Roman"/>
          <w:b/>
          <w:bCs/>
          <w:sz w:val="24"/>
          <w:szCs w:val="24"/>
          <w:lang w:eastAsia="pt-BR"/>
        </w:rPr>
      </w:pPr>
    </w:p>
    <w:p w:rsidR="00A12BFC" w:rsidRPr="00A12BFC" w:rsidRDefault="00AA5845" w:rsidP="00A12BFC">
      <w:pPr>
        <w:numPr>
          <w:ilvl w:val="0"/>
          <w:numId w:val="1"/>
        </w:numPr>
        <w:spacing w:after="0" w:line="240" w:lineRule="auto"/>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color w:val="000000"/>
          <w:sz w:val="24"/>
          <w:szCs w:val="24"/>
          <w:lang w:eastAsia="pt-BR"/>
        </w:rPr>
        <w:t>MUNICÍPIO</w:t>
      </w:r>
      <w:r w:rsidRPr="00AA5845">
        <w:rPr>
          <w:rFonts w:ascii="Times New Roman" w:eastAsia="Times New Roman" w:hAnsi="Times New Roman" w:cs="Times New Roman"/>
          <w:color w:val="000000"/>
          <w:sz w:val="24"/>
          <w:szCs w:val="24"/>
          <w:lang w:eastAsia="pt-BR"/>
        </w:rPr>
        <w:t>: Juiz de Fora.</w:t>
      </w:r>
    </w:p>
    <w:p w:rsidR="00A12BFC" w:rsidRDefault="00A12BFC" w:rsidP="00A12BFC">
      <w:pPr>
        <w:spacing w:after="0" w:line="240" w:lineRule="auto"/>
        <w:outlineLvl w:val="2"/>
        <w:rPr>
          <w:rFonts w:ascii="Times New Roman" w:eastAsia="Times New Roman" w:hAnsi="Times New Roman" w:cs="Times New Roman"/>
          <w:b/>
          <w:bCs/>
          <w:sz w:val="24"/>
          <w:szCs w:val="24"/>
          <w:lang w:eastAsia="pt-BR"/>
        </w:rPr>
      </w:pPr>
    </w:p>
    <w:p w:rsidR="00565C8F" w:rsidRPr="004C27FD" w:rsidRDefault="00AA5845" w:rsidP="00A12BFC">
      <w:pPr>
        <w:numPr>
          <w:ilvl w:val="0"/>
          <w:numId w:val="1"/>
        </w:numPr>
        <w:spacing w:after="0" w:line="240" w:lineRule="auto"/>
        <w:jc w:val="both"/>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color w:val="000000"/>
          <w:sz w:val="24"/>
          <w:szCs w:val="24"/>
          <w:lang w:eastAsia="pt-BR"/>
        </w:rPr>
        <w:t xml:space="preserve">PROTEÇÃO: </w:t>
      </w:r>
      <w:r w:rsidR="00565C8F" w:rsidRPr="00A12BFC">
        <w:rPr>
          <w:rFonts w:ascii="Times New Roman" w:hAnsi="Times New Roman" w:cs="Times New Roman"/>
          <w:sz w:val="24"/>
          <w:szCs w:val="24"/>
        </w:rPr>
        <w:t xml:space="preserve">Integrante do </w:t>
      </w:r>
      <w:proofErr w:type="spellStart"/>
      <w:r w:rsidR="00565C8F" w:rsidRPr="00A12BFC">
        <w:rPr>
          <w:rFonts w:ascii="Times New Roman" w:hAnsi="Times New Roman" w:cs="Times New Roman"/>
          <w:sz w:val="24"/>
          <w:szCs w:val="24"/>
        </w:rPr>
        <w:t>Pré</w:t>
      </w:r>
      <w:proofErr w:type="spellEnd"/>
      <w:r w:rsidR="00565C8F" w:rsidRPr="00A12BFC">
        <w:rPr>
          <w:rFonts w:ascii="Times New Roman" w:hAnsi="Times New Roman" w:cs="Times New Roman"/>
          <w:sz w:val="24"/>
          <w:szCs w:val="24"/>
        </w:rPr>
        <w:t>-Inventário do Acervo Cultural e Arquitetônico de Juiz de Fora, na qualidade de merecedor de estudos e documentação visando o encaminhamento de proposta para sua preservação. Em 28/02/1994 o Arquiteto Luiz Alberto do Prado Passaglia, funcionário da Divisão do Patrimônio Cultural do IPPLAN apresentou Proposta de Tombamento do Imóvel ao Coordenador da Comissão Permanente Técnico Cultural do referido órgão. Os motivos ensejadores da proposta de tombamento, segundo o arquiteto, foram: a sua peculiaridade arquitetônica em relação ao conjunto das construções de Juiz de Fora; o fato urbanístico decorrente da implantação da Avenida Independência, resultando em “corte” na edificação e contraste do antigo com o novo após as construções realizadas na nova avenida; resgate de um símbolo; manter um marco da sua memória formativa artística.</w:t>
      </w:r>
      <w:r w:rsidR="00A12BFC" w:rsidRPr="00A12BFC">
        <w:rPr>
          <w:rFonts w:ascii="Times New Roman" w:eastAsia="Times New Roman" w:hAnsi="Times New Roman" w:cs="Times New Roman"/>
          <w:sz w:val="24"/>
          <w:szCs w:val="24"/>
          <w:lang w:eastAsia="pt-BR"/>
        </w:rPr>
        <w:t xml:space="preserve"> Em 17/03/1994 foi aprovada pelo CTPC (antigo COMPPAC) a proposta de pedido de tombamento do imóvel</w:t>
      </w:r>
      <w:r w:rsidR="00A12BFC" w:rsidRPr="004C27FD">
        <w:rPr>
          <w:rFonts w:ascii="Times New Roman" w:eastAsia="Times New Roman" w:hAnsi="Times New Roman" w:cs="Times New Roman"/>
          <w:sz w:val="24"/>
          <w:szCs w:val="24"/>
          <w:lang w:eastAsia="pt-BR"/>
        </w:rPr>
        <w:t>.</w:t>
      </w:r>
      <w:r w:rsidR="004C27FD" w:rsidRPr="004C27FD">
        <w:rPr>
          <w:rFonts w:ascii="Times New Roman" w:hAnsi="Times New Roman" w:cs="Times New Roman"/>
          <w:sz w:val="24"/>
          <w:szCs w:val="24"/>
        </w:rPr>
        <w:t xml:space="preserve"> O Executivo acatou a recomendação e publicou o decreto nº 11.519, em </w:t>
      </w:r>
      <w:proofErr w:type="gramStart"/>
      <w:r w:rsidR="004C27FD" w:rsidRPr="004C27FD">
        <w:rPr>
          <w:rFonts w:ascii="Times New Roman" w:hAnsi="Times New Roman" w:cs="Times New Roman"/>
          <w:sz w:val="24"/>
          <w:szCs w:val="24"/>
        </w:rPr>
        <w:t>5</w:t>
      </w:r>
      <w:proofErr w:type="gramEnd"/>
      <w:r w:rsidR="004C27FD" w:rsidRPr="004C27FD">
        <w:rPr>
          <w:rFonts w:ascii="Times New Roman" w:hAnsi="Times New Roman" w:cs="Times New Roman"/>
          <w:sz w:val="24"/>
          <w:szCs w:val="24"/>
        </w:rPr>
        <w:t xml:space="preserve"> de março de 2013.</w:t>
      </w:r>
    </w:p>
    <w:p w:rsidR="00A12BFC" w:rsidRPr="00A12BFC" w:rsidRDefault="00A12BFC" w:rsidP="00A12BFC">
      <w:pPr>
        <w:spacing w:after="0" w:line="240" w:lineRule="auto"/>
        <w:jc w:val="both"/>
        <w:outlineLvl w:val="2"/>
        <w:rPr>
          <w:rFonts w:ascii="Times New Roman" w:eastAsia="Times New Roman" w:hAnsi="Times New Roman" w:cs="Times New Roman"/>
          <w:b/>
          <w:bCs/>
          <w:sz w:val="24"/>
          <w:szCs w:val="24"/>
          <w:lang w:eastAsia="pt-BR"/>
        </w:rPr>
      </w:pPr>
    </w:p>
    <w:p w:rsidR="00565C8F" w:rsidRPr="00565C8F" w:rsidRDefault="00565C8F" w:rsidP="00A12BFC">
      <w:pPr>
        <w:numPr>
          <w:ilvl w:val="0"/>
          <w:numId w:val="1"/>
        </w:numPr>
        <w:spacing w:after="0" w:line="240" w:lineRule="auto"/>
        <w:jc w:val="both"/>
        <w:outlineLvl w:val="2"/>
        <w:rPr>
          <w:rFonts w:ascii="Times New Roman" w:eastAsia="Times New Roman" w:hAnsi="Times New Roman" w:cs="Times New Roman"/>
          <w:b/>
          <w:bCs/>
          <w:sz w:val="24"/>
          <w:szCs w:val="24"/>
          <w:lang w:eastAsia="pt-BR"/>
        </w:rPr>
      </w:pPr>
      <w:r w:rsidRPr="00565C8F">
        <w:rPr>
          <w:rFonts w:ascii="Times New Roman" w:eastAsia="Times New Roman" w:hAnsi="Times New Roman" w:cs="Times New Roman"/>
          <w:b/>
          <w:bCs/>
          <w:sz w:val="24"/>
          <w:szCs w:val="24"/>
          <w:lang w:eastAsia="pt-BR"/>
        </w:rPr>
        <w:t xml:space="preserve">PROPRIETÁRIO: </w:t>
      </w:r>
      <w:r w:rsidRPr="00565C8F">
        <w:rPr>
          <w:rFonts w:ascii="Times New Roman" w:eastAsia="Times New Roman" w:hAnsi="Times New Roman" w:cs="Times New Roman"/>
          <w:sz w:val="24"/>
          <w:szCs w:val="24"/>
          <w:lang w:eastAsia="pt-BR"/>
        </w:rPr>
        <w:t xml:space="preserve">A propriedade do imóvel era da Construtora </w:t>
      </w:r>
      <w:proofErr w:type="spellStart"/>
      <w:r w:rsidRPr="00565C8F">
        <w:rPr>
          <w:rFonts w:ascii="Times New Roman" w:eastAsia="Times New Roman" w:hAnsi="Times New Roman" w:cs="Times New Roman"/>
          <w:sz w:val="24"/>
          <w:szCs w:val="24"/>
          <w:lang w:eastAsia="pt-BR"/>
        </w:rPr>
        <w:t>Alber</w:t>
      </w:r>
      <w:proofErr w:type="spellEnd"/>
      <w:r w:rsidRPr="00565C8F">
        <w:rPr>
          <w:rFonts w:ascii="Times New Roman" w:eastAsia="Times New Roman" w:hAnsi="Times New Roman" w:cs="Times New Roman"/>
          <w:sz w:val="24"/>
          <w:szCs w:val="24"/>
          <w:lang w:eastAsia="pt-BR"/>
        </w:rPr>
        <w:t xml:space="preserve"> </w:t>
      </w:r>
      <w:proofErr w:type="spellStart"/>
      <w:r w:rsidRPr="00565C8F">
        <w:rPr>
          <w:rFonts w:ascii="Times New Roman" w:eastAsia="Times New Roman" w:hAnsi="Times New Roman" w:cs="Times New Roman"/>
          <w:sz w:val="24"/>
          <w:szCs w:val="24"/>
          <w:lang w:eastAsia="pt-BR"/>
        </w:rPr>
        <w:t>Ganimi</w:t>
      </w:r>
      <w:proofErr w:type="spellEnd"/>
      <w:r w:rsidRPr="00565C8F">
        <w:rPr>
          <w:rFonts w:ascii="Times New Roman" w:eastAsia="Times New Roman" w:hAnsi="Times New Roman" w:cs="Times New Roman"/>
          <w:sz w:val="24"/>
          <w:szCs w:val="24"/>
          <w:lang w:eastAsia="pt-BR"/>
        </w:rPr>
        <w:t xml:space="preserve">, situada à Av. Barão do Rio Branco, 2040, cidade de Juiz de Fora, tendo sido vendido em 02/02/1999 ao </w:t>
      </w:r>
      <w:proofErr w:type="spellStart"/>
      <w:proofErr w:type="gramStart"/>
      <w:r w:rsidRPr="00565C8F">
        <w:rPr>
          <w:rFonts w:ascii="Times New Roman" w:eastAsia="Times New Roman" w:hAnsi="Times New Roman" w:cs="Times New Roman"/>
          <w:sz w:val="24"/>
          <w:szCs w:val="24"/>
          <w:lang w:eastAsia="pt-BR"/>
        </w:rPr>
        <w:t>sr</w:t>
      </w:r>
      <w:proofErr w:type="spellEnd"/>
      <w:proofErr w:type="gramEnd"/>
      <w:r w:rsidRPr="00565C8F">
        <w:rPr>
          <w:rFonts w:ascii="Times New Roman" w:eastAsia="Times New Roman" w:hAnsi="Times New Roman" w:cs="Times New Roman"/>
          <w:sz w:val="24"/>
          <w:szCs w:val="24"/>
          <w:lang w:eastAsia="pt-BR"/>
        </w:rPr>
        <w:t xml:space="preserve"> Rafael Palhares Del Piccolo.</w:t>
      </w:r>
    </w:p>
    <w:p w:rsidR="00AA5845" w:rsidRPr="00AA5845" w:rsidRDefault="00AA5845" w:rsidP="00A12BFC">
      <w:pPr>
        <w:spacing w:after="0" w:line="240" w:lineRule="auto"/>
        <w:jc w:val="both"/>
        <w:outlineLvl w:val="2"/>
        <w:rPr>
          <w:rFonts w:ascii="Times New Roman" w:eastAsia="Times New Roman" w:hAnsi="Times New Roman" w:cs="Times New Roman"/>
          <w:b/>
          <w:bCs/>
          <w:sz w:val="24"/>
          <w:szCs w:val="24"/>
          <w:lang w:eastAsia="pt-BR"/>
        </w:rPr>
      </w:pPr>
    </w:p>
    <w:p w:rsidR="00AA5845" w:rsidRPr="00565C8F" w:rsidRDefault="00AA5845" w:rsidP="00565C8F">
      <w:pPr>
        <w:numPr>
          <w:ilvl w:val="0"/>
          <w:numId w:val="1"/>
        </w:numPr>
        <w:spacing w:after="0" w:line="240" w:lineRule="auto"/>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color w:val="000000"/>
          <w:sz w:val="24"/>
          <w:szCs w:val="24"/>
          <w:lang w:eastAsia="pt-BR"/>
        </w:rPr>
        <w:t xml:space="preserve">OBJETIVO: </w:t>
      </w:r>
      <w:r w:rsidR="00565C8F" w:rsidRPr="00565C8F">
        <w:rPr>
          <w:rFonts w:ascii="Times New Roman" w:eastAsia="Times New Roman" w:hAnsi="Times New Roman" w:cs="Times New Roman"/>
          <w:bCs/>
          <w:color w:val="000000"/>
          <w:sz w:val="24"/>
          <w:szCs w:val="24"/>
          <w:lang w:eastAsia="pt-BR"/>
        </w:rPr>
        <w:t>Análise do estado de conservação atual.</w:t>
      </w:r>
    </w:p>
    <w:p w:rsidR="00565C8F" w:rsidRPr="00AA5845" w:rsidRDefault="00565C8F" w:rsidP="00565C8F">
      <w:pPr>
        <w:spacing w:after="0" w:line="240" w:lineRule="auto"/>
        <w:outlineLvl w:val="2"/>
        <w:rPr>
          <w:rFonts w:ascii="Times New Roman" w:eastAsia="Times New Roman" w:hAnsi="Times New Roman" w:cs="Times New Roman"/>
          <w:b/>
          <w:bCs/>
          <w:sz w:val="24"/>
          <w:szCs w:val="24"/>
          <w:lang w:eastAsia="pt-BR"/>
        </w:rPr>
      </w:pPr>
    </w:p>
    <w:p w:rsidR="00AA5845" w:rsidRPr="00565C8F" w:rsidRDefault="00AA5845" w:rsidP="00AA5845">
      <w:pPr>
        <w:numPr>
          <w:ilvl w:val="0"/>
          <w:numId w:val="1"/>
        </w:numPr>
        <w:spacing w:after="0" w:line="240" w:lineRule="auto"/>
        <w:outlineLvl w:val="2"/>
        <w:rPr>
          <w:rFonts w:ascii="Times New Roman" w:eastAsia="Times New Roman" w:hAnsi="Times New Roman" w:cs="Times New Roman"/>
          <w:b/>
          <w:bCs/>
          <w:sz w:val="24"/>
          <w:szCs w:val="24"/>
          <w:lang w:eastAsia="pt-BR"/>
        </w:rPr>
      </w:pPr>
      <w:r w:rsidRPr="00AA5845">
        <w:rPr>
          <w:rFonts w:ascii="Times New Roman" w:eastAsia="Times New Roman" w:hAnsi="Times New Roman" w:cs="Times New Roman"/>
          <w:b/>
          <w:bCs/>
          <w:color w:val="000000"/>
          <w:sz w:val="24"/>
          <w:szCs w:val="24"/>
          <w:lang w:eastAsia="pt-BR"/>
        </w:rPr>
        <w:t>CONSIDERAÇÕES PRELIMINARES:</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Em 30 de dezembro de 1993 a Construtora </w:t>
      </w:r>
      <w:proofErr w:type="spellStart"/>
      <w:r w:rsidRPr="008C5BA2">
        <w:rPr>
          <w:rFonts w:ascii="Times New Roman" w:eastAsia="Times New Roman" w:hAnsi="Times New Roman" w:cs="Times New Roman"/>
          <w:sz w:val="24"/>
          <w:szCs w:val="24"/>
          <w:lang w:eastAsia="pt-BR"/>
        </w:rPr>
        <w:t>Alber</w:t>
      </w:r>
      <w:proofErr w:type="spellEnd"/>
      <w:r w:rsidRPr="008C5BA2">
        <w:rPr>
          <w:rFonts w:ascii="Times New Roman" w:eastAsia="Times New Roman" w:hAnsi="Times New Roman" w:cs="Times New Roman"/>
          <w:sz w:val="24"/>
          <w:szCs w:val="24"/>
          <w:lang w:eastAsia="pt-BR"/>
        </w:rPr>
        <w:t xml:space="preserve"> </w:t>
      </w:r>
      <w:proofErr w:type="spellStart"/>
      <w:r w:rsidRPr="008C5BA2">
        <w:rPr>
          <w:rFonts w:ascii="Times New Roman" w:eastAsia="Times New Roman" w:hAnsi="Times New Roman" w:cs="Times New Roman"/>
          <w:sz w:val="24"/>
          <w:szCs w:val="24"/>
          <w:lang w:eastAsia="pt-BR"/>
        </w:rPr>
        <w:t>Ganimi</w:t>
      </w:r>
      <w:proofErr w:type="spellEnd"/>
      <w:r w:rsidRPr="008C5BA2">
        <w:rPr>
          <w:rFonts w:ascii="Times New Roman" w:eastAsia="Times New Roman" w:hAnsi="Times New Roman" w:cs="Times New Roman"/>
          <w:sz w:val="24"/>
          <w:szCs w:val="24"/>
          <w:lang w:eastAsia="pt-BR"/>
        </w:rPr>
        <w:t xml:space="preserve"> </w:t>
      </w:r>
      <w:proofErr w:type="spellStart"/>
      <w:r w:rsidRPr="008C5BA2">
        <w:rPr>
          <w:rFonts w:ascii="Times New Roman" w:eastAsia="Times New Roman" w:hAnsi="Times New Roman" w:cs="Times New Roman"/>
          <w:sz w:val="24"/>
          <w:szCs w:val="24"/>
          <w:lang w:eastAsia="pt-BR"/>
        </w:rPr>
        <w:t>Ltda</w:t>
      </w:r>
      <w:proofErr w:type="spellEnd"/>
      <w:r w:rsidRPr="008C5BA2">
        <w:rPr>
          <w:rFonts w:ascii="Times New Roman" w:eastAsia="Times New Roman" w:hAnsi="Times New Roman" w:cs="Times New Roman"/>
          <w:sz w:val="24"/>
          <w:szCs w:val="24"/>
          <w:lang w:eastAsia="pt-BR"/>
        </w:rPr>
        <w:t xml:space="preserve"> adquiriu o imóvel em tela e em janeiro de 1994 deu entrada na Prefeitura Municipal de Juiz de Fora de requerimento para construção de um prédio residencial de 09 (nove) pavimentos, o que implicaria na demolição do imóvel que é integrante do </w:t>
      </w:r>
      <w:proofErr w:type="spellStart"/>
      <w:proofErr w:type="gramStart"/>
      <w:r w:rsidRPr="008C5BA2">
        <w:rPr>
          <w:rFonts w:ascii="Times New Roman" w:eastAsia="Times New Roman" w:hAnsi="Times New Roman" w:cs="Times New Roman"/>
          <w:sz w:val="24"/>
          <w:szCs w:val="24"/>
          <w:lang w:eastAsia="pt-BR"/>
        </w:rPr>
        <w:t>pré</w:t>
      </w:r>
      <w:proofErr w:type="spellEnd"/>
      <w:r w:rsidRPr="008C5BA2">
        <w:rPr>
          <w:rFonts w:ascii="Times New Roman" w:eastAsia="Times New Roman" w:hAnsi="Times New Roman" w:cs="Times New Roman"/>
          <w:sz w:val="24"/>
          <w:szCs w:val="24"/>
          <w:lang w:eastAsia="pt-BR"/>
        </w:rPr>
        <w:t xml:space="preserve"> inventário</w:t>
      </w:r>
      <w:proofErr w:type="gramEnd"/>
      <w:r w:rsidRPr="008C5BA2">
        <w:rPr>
          <w:rFonts w:ascii="Times New Roman" w:eastAsia="Times New Roman" w:hAnsi="Times New Roman" w:cs="Times New Roman"/>
          <w:sz w:val="24"/>
          <w:szCs w:val="24"/>
          <w:lang w:eastAsia="pt-BR"/>
        </w:rPr>
        <w:t xml:space="preserve"> arquitetônico da cidade.</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Segundo informações contidas nos autos, foi </w:t>
      </w:r>
      <w:proofErr w:type="gramStart"/>
      <w:r w:rsidRPr="008C5BA2">
        <w:rPr>
          <w:rFonts w:ascii="Times New Roman" w:eastAsia="Times New Roman" w:hAnsi="Times New Roman" w:cs="Times New Roman"/>
          <w:sz w:val="24"/>
          <w:szCs w:val="24"/>
          <w:lang w:eastAsia="pt-BR"/>
        </w:rPr>
        <w:t>autorizada</w:t>
      </w:r>
      <w:proofErr w:type="gramEnd"/>
      <w:r w:rsidRPr="008C5BA2">
        <w:rPr>
          <w:rFonts w:ascii="Times New Roman" w:eastAsia="Times New Roman" w:hAnsi="Times New Roman" w:cs="Times New Roman"/>
          <w:sz w:val="24"/>
          <w:szCs w:val="24"/>
          <w:lang w:eastAsia="pt-BR"/>
        </w:rPr>
        <w:t xml:space="preserve"> pela proprietária do imóvel ao Sr. João Carlos </w:t>
      </w:r>
      <w:proofErr w:type="spellStart"/>
      <w:r w:rsidRPr="008C5BA2">
        <w:rPr>
          <w:rFonts w:ascii="Times New Roman" w:eastAsia="Times New Roman" w:hAnsi="Times New Roman" w:cs="Times New Roman"/>
          <w:sz w:val="24"/>
          <w:szCs w:val="24"/>
          <w:lang w:eastAsia="pt-BR"/>
        </w:rPr>
        <w:t>Gerheim</w:t>
      </w:r>
      <w:proofErr w:type="spellEnd"/>
      <w:r w:rsidRPr="008C5BA2">
        <w:rPr>
          <w:rFonts w:ascii="Times New Roman" w:eastAsia="Times New Roman" w:hAnsi="Times New Roman" w:cs="Times New Roman"/>
          <w:sz w:val="24"/>
          <w:szCs w:val="24"/>
          <w:lang w:eastAsia="pt-BR"/>
        </w:rPr>
        <w:t xml:space="preserve">, representante dos vendedores, a retirada do gradil da residência, bem como as peças de ornamentação da fachada, além da caixa d’agua, os gradis da janela, uma porta de ferro e uma porta de madeira do imóvel. Os serviços de demolição foram contratados ao Sr. Milton Aleixo Paes </w:t>
      </w:r>
      <w:proofErr w:type="spellStart"/>
      <w:r w:rsidRPr="008C5BA2">
        <w:rPr>
          <w:rFonts w:ascii="Times New Roman" w:eastAsia="Times New Roman" w:hAnsi="Times New Roman" w:cs="Times New Roman"/>
          <w:sz w:val="24"/>
          <w:szCs w:val="24"/>
          <w:lang w:eastAsia="pt-BR"/>
        </w:rPr>
        <w:t>Rooke</w:t>
      </w:r>
      <w:proofErr w:type="spellEnd"/>
      <w:r w:rsidRPr="008C5BA2">
        <w:rPr>
          <w:rFonts w:ascii="Times New Roman" w:eastAsia="Times New Roman" w:hAnsi="Times New Roman" w:cs="Times New Roman"/>
          <w:sz w:val="24"/>
          <w:szCs w:val="24"/>
          <w:lang w:eastAsia="pt-BR"/>
        </w:rPr>
        <w:t xml:space="preserve">, representante do Antiquário Mineiro, ficando </w:t>
      </w:r>
      <w:proofErr w:type="gramStart"/>
      <w:r w:rsidRPr="008C5BA2">
        <w:rPr>
          <w:rFonts w:ascii="Times New Roman" w:eastAsia="Times New Roman" w:hAnsi="Times New Roman" w:cs="Times New Roman"/>
          <w:sz w:val="24"/>
          <w:szCs w:val="24"/>
          <w:lang w:eastAsia="pt-BR"/>
        </w:rPr>
        <w:t>acertado com ele</w:t>
      </w:r>
      <w:proofErr w:type="gramEnd"/>
      <w:r w:rsidRPr="008C5BA2">
        <w:rPr>
          <w:rFonts w:ascii="Times New Roman" w:eastAsia="Times New Roman" w:hAnsi="Times New Roman" w:cs="Times New Roman"/>
          <w:sz w:val="24"/>
          <w:szCs w:val="24"/>
          <w:lang w:eastAsia="pt-BR"/>
        </w:rPr>
        <w:t xml:space="preserve"> também a venda destes materiais. O </w:t>
      </w:r>
      <w:proofErr w:type="spellStart"/>
      <w:proofErr w:type="gramStart"/>
      <w:r w:rsidRPr="008C5BA2">
        <w:rPr>
          <w:rFonts w:ascii="Times New Roman" w:eastAsia="Times New Roman" w:hAnsi="Times New Roman" w:cs="Times New Roman"/>
          <w:sz w:val="24"/>
          <w:szCs w:val="24"/>
          <w:lang w:eastAsia="pt-BR"/>
        </w:rPr>
        <w:t>sr</w:t>
      </w:r>
      <w:proofErr w:type="spellEnd"/>
      <w:proofErr w:type="gramEnd"/>
      <w:r w:rsidRPr="008C5BA2">
        <w:rPr>
          <w:rFonts w:ascii="Times New Roman" w:eastAsia="Times New Roman" w:hAnsi="Times New Roman" w:cs="Times New Roman"/>
          <w:sz w:val="24"/>
          <w:szCs w:val="24"/>
          <w:lang w:eastAsia="pt-BR"/>
        </w:rPr>
        <w:t xml:space="preserve"> Milton também removeu </w:t>
      </w:r>
      <w:r w:rsidRPr="008C5BA2">
        <w:rPr>
          <w:rFonts w:ascii="Times New Roman" w:eastAsia="Times New Roman" w:hAnsi="Times New Roman" w:cs="Times New Roman"/>
          <w:sz w:val="24"/>
          <w:szCs w:val="24"/>
          <w:lang w:eastAsia="pt-BR"/>
        </w:rPr>
        <w:lastRenderedPageBreak/>
        <w:t>do imóvel o assoalho e o telhado, mesmo após o embargo das obras de demolição pela prefeitura local.</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Tendo em vista que as peças removidas eram de extrema relevância para eventual reconstrução do prédio cadastrado no </w:t>
      </w:r>
      <w:proofErr w:type="spellStart"/>
      <w:r w:rsidRPr="008C5BA2">
        <w:rPr>
          <w:rFonts w:ascii="Times New Roman" w:eastAsia="Times New Roman" w:hAnsi="Times New Roman" w:cs="Times New Roman"/>
          <w:sz w:val="24"/>
          <w:szCs w:val="24"/>
          <w:lang w:eastAsia="pt-BR"/>
        </w:rPr>
        <w:t>Pré</w:t>
      </w:r>
      <w:proofErr w:type="spellEnd"/>
      <w:r w:rsidRPr="008C5BA2">
        <w:rPr>
          <w:rFonts w:ascii="Times New Roman" w:eastAsia="Times New Roman" w:hAnsi="Times New Roman" w:cs="Times New Roman"/>
          <w:sz w:val="24"/>
          <w:szCs w:val="24"/>
          <w:lang w:eastAsia="pt-BR"/>
        </w:rPr>
        <w:t xml:space="preserve"> Inventário do Acervo Cultural de Juiz de Fora e já com proposta de tombamento encaminhada </w:t>
      </w:r>
      <w:proofErr w:type="gramStart"/>
      <w:r w:rsidRPr="008C5BA2">
        <w:rPr>
          <w:rFonts w:ascii="Times New Roman" w:eastAsia="Times New Roman" w:hAnsi="Times New Roman" w:cs="Times New Roman"/>
          <w:sz w:val="24"/>
          <w:szCs w:val="24"/>
          <w:lang w:eastAsia="pt-BR"/>
        </w:rPr>
        <w:t>a</w:t>
      </w:r>
      <w:proofErr w:type="gramEnd"/>
      <w:r w:rsidRPr="008C5BA2">
        <w:rPr>
          <w:rFonts w:ascii="Times New Roman" w:eastAsia="Times New Roman" w:hAnsi="Times New Roman" w:cs="Times New Roman"/>
          <w:sz w:val="24"/>
          <w:szCs w:val="24"/>
          <w:lang w:eastAsia="pt-BR"/>
        </w:rPr>
        <w:t xml:space="preserve"> curadoria ajuizou em 04 de março de 1994, Medida Cautelar de Busca e Apreensão, visando a recuperação das peças</w:t>
      </w:r>
      <w:r w:rsidRPr="008C5BA2">
        <w:rPr>
          <w:rFonts w:eastAsia="Times New Roman"/>
          <w:lang w:eastAsia="pt-BR"/>
        </w:rPr>
        <w:footnoteReference w:id="1"/>
      </w:r>
      <w:r w:rsidRPr="008C5BA2">
        <w:rPr>
          <w:rFonts w:ascii="Times New Roman" w:eastAsia="Times New Roman" w:hAnsi="Times New Roman" w:cs="Times New Roman"/>
          <w:sz w:val="24"/>
          <w:szCs w:val="24"/>
          <w:lang w:eastAsia="pt-BR"/>
        </w:rPr>
        <w:t>.</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Em 17/03/1994 foi aprovada pelo CTPC (antigo COMPPAC) a proposta de pedido de tombamento do imóvel.</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Em 02/02/1999 o imóvel foi vendido ao </w:t>
      </w:r>
      <w:proofErr w:type="spellStart"/>
      <w:proofErr w:type="gramStart"/>
      <w:r w:rsidRPr="008C5BA2">
        <w:rPr>
          <w:rFonts w:ascii="Times New Roman" w:eastAsia="Times New Roman" w:hAnsi="Times New Roman" w:cs="Times New Roman"/>
          <w:sz w:val="24"/>
          <w:szCs w:val="24"/>
          <w:lang w:eastAsia="pt-BR"/>
        </w:rPr>
        <w:t>sr</w:t>
      </w:r>
      <w:proofErr w:type="spellEnd"/>
      <w:proofErr w:type="gramEnd"/>
      <w:r w:rsidRPr="008C5BA2">
        <w:rPr>
          <w:rFonts w:ascii="Times New Roman" w:eastAsia="Times New Roman" w:hAnsi="Times New Roman" w:cs="Times New Roman"/>
          <w:sz w:val="24"/>
          <w:szCs w:val="24"/>
          <w:lang w:eastAsia="pt-BR"/>
        </w:rPr>
        <w:t xml:space="preserve"> Rafael Palhares Del Piccolo.</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Após vários anos de processo, o mesmo transitou em julgado em 23/10/2001, sendo os réus condenados a efetivar a reconstrução do imóvel preservando e recuperando suas características originais. Na impossibilidade de reconstrução do imóvel, além da indenização competente, deveria ser construída no local área de lazer com aproveitamento de peças e elemento do imóvel, devendo o gabarito ser limitado a um pavimento.</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Em outubro de 2011, chegou ao conhecimento da Promotoria de Justiça da Comarca de Juiz de Fora notícia de que não vem sendo cumprido o acórdão do </w:t>
      </w:r>
      <w:proofErr w:type="spellStart"/>
      <w:r w:rsidRPr="008C5BA2">
        <w:rPr>
          <w:rFonts w:ascii="Times New Roman" w:eastAsia="Times New Roman" w:hAnsi="Times New Roman" w:cs="Times New Roman"/>
          <w:sz w:val="24"/>
          <w:szCs w:val="24"/>
          <w:lang w:eastAsia="pt-BR"/>
        </w:rPr>
        <w:t>Eg</w:t>
      </w:r>
      <w:proofErr w:type="spellEnd"/>
      <w:r w:rsidRPr="008C5BA2">
        <w:rPr>
          <w:rFonts w:ascii="Times New Roman" w:eastAsia="Times New Roman" w:hAnsi="Times New Roman" w:cs="Times New Roman"/>
          <w:sz w:val="24"/>
          <w:szCs w:val="24"/>
          <w:lang w:eastAsia="pt-BR"/>
        </w:rPr>
        <w:t>. TJMG, que determinou a reconstrução do imóvel situado à R. Espírito Santo, 764, Centro – Juiz de Fora/MG. Diante desta denúncia o Promotor de Justiça Dr. Daniel Ângelo de Oliveira Rangel, determinou instauração de inquérito civil público no dia 04/10/2012.</w:t>
      </w:r>
    </w:p>
    <w:p w:rsidR="00565C8F" w:rsidRPr="008C5BA2"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Até 24/10/2011 os débitos em dívida ativa referentes ao imóvel somavam R$ 104.589,09 (cento e quatro mil quinhentos e oitenta e nove reais e nove centavos).</w:t>
      </w:r>
    </w:p>
    <w:p w:rsidR="008C5BA2" w:rsidRPr="008C5BA2" w:rsidRDefault="008C5BA2"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 xml:space="preserve">O imóvel em questão foi alvo de demolição parcial iniciada antes da apreciação do requerimento de demolição pela Administração Municipal, resultando assim, em dano construtivo e artístico à edificação, que consubstanciou em “dano ao patrimônio cultural”. </w:t>
      </w:r>
    </w:p>
    <w:p w:rsidR="008C5BA2" w:rsidRPr="008C5BA2" w:rsidRDefault="008C5BA2"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Segundo informações constantes nos autos, devido ao seu estado de abandono, o imóvel vem sendo utilizado para consumo de drogas, práticas sexuais, moradia de mendigos e esconderijo para materiais furtados. Devido ao acúmulo de mato e sujeira, trás riscos à saúde pública por ser local de proliferação de animais peçonhentos e insetos, assim como favorecer a procriação do mosquito da dengue.</w:t>
      </w:r>
    </w:p>
    <w:p w:rsidR="00565C8F" w:rsidRDefault="00565C8F" w:rsidP="008C5BA2">
      <w:pPr>
        <w:spacing w:after="0" w:line="240" w:lineRule="auto"/>
        <w:ind w:firstLine="360"/>
        <w:jc w:val="both"/>
        <w:rPr>
          <w:rFonts w:ascii="Times New Roman" w:eastAsia="Times New Roman" w:hAnsi="Times New Roman" w:cs="Times New Roman"/>
          <w:sz w:val="24"/>
          <w:szCs w:val="24"/>
          <w:lang w:eastAsia="pt-BR"/>
        </w:rPr>
      </w:pPr>
      <w:r w:rsidRPr="008C5BA2">
        <w:rPr>
          <w:rFonts w:ascii="Times New Roman" w:eastAsia="Times New Roman" w:hAnsi="Times New Roman" w:cs="Times New Roman"/>
          <w:sz w:val="24"/>
          <w:szCs w:val="24"/>
          <w:lang w:eastAsia="pt-BR"/>
        </w:rPr>
        <w:t>Em agosto de 2012 este Setor Técnico elaborou a Nota Técnica nº 72/2012</w:t>
      </w:r>
      <w:r w:rsidR="008C5BA2" w:rsidRPr="008C5BA2">
        <w:rPr>
          <w:rFonts w:ascii="Times New Roman" w:eastAsia="Times New Roman" w:hAnsi="Times New Roman" w:cs="Times New Roman"/>
          <w:sz w:val="24"/>
          <w:szCs w:val="24"/>
          <w:lang w:eastAsia="pt-BR"/>
        </w:rPr>
        <w:t xml:space="preserve"> </w:t>
      </w:r>
      <w:r w:rsidR="008C5BA2">
        <w:rPr>
          <w:rFonts w:ascii="Times New Roman" w:eastAsia="Times New Roman" w:hAnsi="Times New Roman" w:cs="Times New Roman"/>
          <w:sz w:val="24"/>
          <w:szCs w:val="24"/>
          <w:lang w:eastAsia="pt-BR"/>
        </w:rPr>
        <w:t>que concluiu que a edificação po</w:t>
      </w:r>
      <w:r w:rsidR="008C5BA2" w:rsidRPr="008C5BA2">
        <w:rPr>
          <w:rFonts w:ascii="Times New Roman" w:eastAsia="Times New Roman" w:hAnsi="Times New Roman" w:cs="Times New Roman"/>
          <w:sz w:val="24"/>
          <w:szCs w:val="24"/>
          <w:lang w:eastAsia="pt-BR"/>
        </w:rPr>
        <w:t>ssuí</w:t>
      </w:r>
      <w:r w:rsidR="008C5BA2">
        <w:rPr>
          <w:rFonts w:ascii="Times New Roman" w:eastAsia="Times New Roman" w:hAnsi="Times New Roman" w:cs="Times New Roman"/>
          <w:sz w:val="24"/>
          <w:szCs w:val="24"/>
          <w:lang w:eastAsia="pt-BR"/>
        </w:rPr>
        <w:t>a valor cultural, indicando medidas necessárias para sua preservação e recuperação e medidas indenizatórias pelos danos causados ao bem cultural.</w:t>
      </w:r>
    </w:p>
    <w:p w:rsidR="00BE1DC4" w:rsidRPr="00BE1DC4" w:rsidRDefault="00BE1DC4" w:rsidP="00BE1DC4">
      <w:pPr>
        <w:spacing w:after="0" w:line="240" w:lineRule="auto"/>
        <w:ind w:firstLine="360"/>
        <w:jc w:val="both"/>
        <w:rPr>
          <w:rFonts w:ascii="Times New Roman" w:eastAsia="Times New Roman" w:hAnsi="Times New Roman" w:cs="Times New Roman"/>
          <w:sz w:val="24"/>
          <w:szCs w:val="24"/>
          <w:lang w:eastAsia="pt-BR"/>
        </w:rPr>
      </w:pPr>
      <w:r w:rsidRPr="00BE1DC4">
        <w:rPr>
          <w:rFonts w:ascii="Times New Roman" w:eastAsia="Times New Roman" w:hAnsi="Times New Roman" w:cs="Times New Roman"/>
          <w:sz w:val="24"/>
          <w:szCs w:val="24"/>
          <w:lang w:eastAsia="pt-BR"/>
        </w:rPr>
        <w:t xml:space="preserve">Em 26/07/2012 o senhor Luiz Cláudio </w:t>
      </w:r>
      <w:proofErr w:type="spellStart"/>
      <w:r w:rsidRPr="00BE1DC4">
        <w:rPr>
          <w:rFonts w:ascii="Times New Roman" w:eastAsia="Times New Roman" w:hAnsi="Times New Roman" w:cs="Times New Roman"/>
          <w:sz w:val="24"/>
          <w:szCs w:val="24"/>
          <w:lang w:eastAsia="pt-BR"/>
        </w:rPr>
        <w:t>Sant’ana</w:t>
      </w:r>
      <w:proofErr w:type="spellEnd"/>
      <w:r w:rsidRPr="00BE1DC4">
        <w:rPr>
          <w:rFonts w:ascii="Times New Roman" w:eastAsia="Times New Roman" w:hAnsi="Times New Roman" w:cs="Times New Roman"/>
          <w:sz w:val="24"/>
          <w:szCs w:val="24"/>
          <w:lang w:eastAsia="pt-BR"/>
        </w:rPr>
        <w:t xml:space="preserve"> Mendes foi intimado a entregar à </w:t>
      </w:r>
      <w:proofErr w:type="spellStart"/>
      <w:r w:rsidRPr="00BE1DC4">
        <w:rPr>
          <w:rFonts w:ascii="Times New Roman" w:eastAsia="Times New Roman" w:hAnsi="Times New Roman" w:cs="Times New Roman"/>
          <w:sz w:val="24"/>
          <w:szCs w:val="24"/>
          <w:lang w:eastAsia="pt-BR"/>
        </w:rPr>
        <w:t>Funalfa</w:t>
      </w:r>
      <w:proofErr w:type="spellEnd"/>
      <w:r w:rsidRPr="00BE1DC4">
        <w:rPr>
          <w:rFonts w:ascii="Times New Roman" w:eastAsia="Times New Roman" w:hAnsi="Times New Roman" w:cs="Times New Roman"/>
          <w:sz w:val="24"/>
          <w:szCs w:val="24"/>
          <w:lang w:eastAsia="pt-BR"/>
        </w:rPr>
        <w:t xml:space="preserve">, em 30 dias, os bens apreendidos na ocasião do cumprimento do mandado de busca e apreensão. Em resposta à intimação, este senhor alega que não tem vínculos com a </w:t>
      </w:r>
      <w:r w:rsidRPr="00BE1DC4">
        <w:rPr>
          <w:rFonts w:ascii="Times New Roman" w:eastAsia="Times New Roman" w:hAnsi="Times New Roman" w:cs="Times New Roman"/>
          <w:sz w:val="24"/>
          <w:szCs w:val="24"/>
          <w:lang w:eastAsia="pt-BR"/>
        </w:rPr>
        <w:lastRenderedPageBreak/>
        <w:t>empresa Armazém do Arquiteto, apenas prestou serviços ao estabelecimento na década de 1990.</w:t>
      </w:r>
    </w:p>
    <w:p w:rsidR="00BE1DC4" w:rsidRDefault="00BE1DC4" w:rsidP="00BE1DC4">
      <w:pPr>
        <w:spacing w:after="0" w:line="240" w:lineRule="auto"/>
        <w:ind w:firstLine="360"/>
        <w:jc w:val="both"/>
        <w:rPr>
          <w:rFonts w:ascii="Times New Roman" w:eastAsia="Times New Roman" w:hAnsi="Times New Roman" w:cs="Times New Roman"/>
          <w:sz w:val="24"/>
          <w:szCs w:val="24"/>
          <w:lang w:eastAsia="pt-BR"/>
        </w:rPr>
      </w:pPr>
      <w:r w:rsidRPr="00BE1DC4">
        <w:rPr>
          <w:rFonts w:ascii="Times New Roman" w:eastAsia="Times New Roman" w:hAnsi="Times New Roman" w:cs="Times New Roman"/>
          <w:sz w:val="24"/>
          <w:szCs w:val="24"/>
          <w:lang w:eastAsia="pt-BR"/>
        </w:rPr>
        <w:t xml:space="preserve">Entretanto, em 06/12/2012, o Ministério Público entendeu que o fato do senhor Luiz Cláudio </w:t>
      </w:r>
      <w:proofErr w:type="spellStart"/>
      <w:r w:rsidRPr="00BE1DC4">
        <w:rPr>
          <w:rFonts w:ascii="Times New Roman" w:eastAsia="Times New Roman" w:hAnsi="Times New Roman" w:cs="Times New Roman"/>
          <w:sz w:val="24"/>
          <w:szCs w:val="24"/>
          <w:lang w:eastAsia="pt-BR"/>
        </w:rPr>
        <w:t>Sant’ana</w:t>
      </w:r>
      <w:proofErr w:type="spellEnd"/>
      <w:r w:rsidRPr="00BE1DC4">
        <w:rPr>
          <w:rFonts w:ascii="Times New Roman" w:eastAsia="Times New Roman" w:hAnsi="Times New Roman" w:cs="Times New Roman"/>
          <w:sz w:val="24"/>
          <w:szCs w:val="24"/>
          <w:lang w:eastAsia="pt-BR"/>
        </w:rPr>
        <w:t xml:space="preserve"> Mendes ser apenas um ex-funcionário da empresa Armazém do Arquiteto, isto não afasta a sua responsabilidade, uma vez que foi nomeado depositário dos bens apreendidos.</w:t>
      </w:r>
    </w:p>
    <w:p w:rsidR="00BE1DC4" w:rsidRPr="00BE1DC4" w:rsidRDefault="00A12BFC" w:rsidP="00BE1DC4">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Em abril de 2015 este Setor Técnico elaborou a Nota Técnica nº 42/2015</w:t>
      </w:r>
      <w:r w:rsidR="00BE1DC4" w:rsidRPr="00BE1DC4">
        <w:rPr>
          <w:rFonts w:ascii="Times New Roman" w:eastAsia="Times New Roman" w:hAnsi="Times New Roman" w:cs="Times New Roman"/>
          <w:sz w:val="24"/>
          <w:szCs w:val="24"/>
          <w:lang w:eastAsia="pt-BR"/>
        </w:rPr>
        <w:t xml:space="preserve"> </w:t>
      </w:r>
      <w:r w:rsidR="00BE1DC4">
        <w:rPr>
          <w:rFonts w:ascii="Times New Roman" w:eastAsia="Times New Roman" w:hAnsi="Times New Roman" w:cs="Times New Roman"/>
          <w:sz w:val="24"/>
          <w:szCs w:val="24"/>
          <w:lang w:eastAsia="pt-BR"/>
        </w:rPr>
        <w:t>contendo a</w:t>
      </w:r>
      <w:r w:rsidR="00BE1DC4" w:rsidRPr="00BE1DC4">
        <w:rPr>
          <w:rFonts w:ascii="Times New Roman" w:eastAsia="Times New Roman" w:hAnsi="Times New Roman" w:cs="Times New Roman"/>
          <w:sz w:val="24"/>
          <w:szCs w:val="24"/>
          <w:lang w:eastAsia="pt-BR"/>
        </w:rPr>
        <w:t xml:space="preserve"> valoração monetária de danos ao Patrimônio Cultural (materiais) no que se </w:t>
      </w:r>
      <w:proofErr w:type="gramStart"/>
      <w:r w:rsidR="00BE1DC4" w:rsidRPr="00BE1DC4">
        <w:rPr>
          <w:rFonts w:ascii="Times New Roman" w:eastAsia="Times New Roman" w:hAnsi="Times New Roman" w:cs="Times New Roman"/>
          <w:sz w:val="24"/>
          <w:szCs w:val="24"/>
          <w:lang w:eastAsia="pt-BR"/>
        </w:rPr>
        <w:t>refere</w:t>
      </w:r>
      <w:proofErr w:type="gramEnd"/>
      <w:r w:rsidR="00BE1DC4" w:rsidRPr="00BE1DC4">
        <w:rPr>
          <w:rFonts w:ascii="Times New Roman" w:eastAsia="Times New Roman" w:hAnsi="Times New Roman" w:cs="Times New Roman"/>
          <w:sz w:val="24"/>
          <w:szCs w:val="24"/>
          <w:lang w:eastAsia="pt-BR"/>
        </w:rPr>
        <w:t xml:space="preserve"> à perda dos materiais de acabamento, gradis, elementos ornamentais integrantes da fachada e do fechamento da edificação.</w:t>
      </w:r>
    </w:p>
    <w:p w:rsidR="00A12BFC" w:rsidRDefault="004C27FD" w:rsidP="008C5BA2">
      <w:pPr>
        <w:spacing w:after="0" w:line="240" w:lineRule="auto"/>
        <w:ind w:firstLine="360"/>
        <w:jc w:val="both"/>
        <w:rPr>
          <w:rFonts w:ascii="Times New Roman" w:hAnsi="Times New Roman" w:cs="Times New Roman"/>
          <w:sz w:val="24"/>
          <w:szCs w:val="24"/>
        </w:rPr>
      </w:pPr>
      <w:r w:rsidRPr="004C27FD">
        <w:rPr>
          <w:rFonts w:ascii="Times New Roman" w:eastAsia="Times New Roman" w:hAnsi="Times New Roman" w:cs="Times New Roman"/>
          <w:sz w:val="24"/>
          <w:szCs w:val="24"/>
          <w:lang w:eastAsia="pt-BR"/>
        </w:rPr>
        <w:t>No dia 03/04/2016</w:t>
      </w:r>
      <w:r w:rsidRPr="004C27FD">
        <w:rPr>
          <w:rFonts w:ascii="Times New Roman" w:hAnsi="Times New Roman" w:cs="Times New Roman"/>
          <w:sz w:val="24"/>
          <w:szCs w:val="24"/>
        </w:rPr>
        <w:t xml:space="preserve"> um homem com uma marreta destruiu parte da fachada que restava do imóvel</w:t>
      </w:r>
      <w:r>
        <w:rPr>
          <w:rFonts w:ascii="Times New Roman" w:hAnsi="Times New Roman" w:cs="Times New Roman"/>
          <w:sz w:val="24"/>
          <w:szCs w:val="24"/>
        </w:rPr>
        <w:t>.</w:t>
      </w:r>
    </w:p>
    <w:p w:rsidR="004C27FD" w:rsidRDefault="004C27FD" w:rsidP="008C5BA2">
      <w:pPr>
        <w:spacing w:after="0" w:line="240" w:lineRule="auto"/>
        <w:ind w:firstLine="360"/>
        <w:jc w:val="both"/>
        <w:rPr>
          <w:rFonts w:ascii="Times New Roman" w:hAnsi="Times New Roman" w:cs="Times New Roman"/>
          <w:sz w:val="24"/>
          <w:szCs w:val="24"/>
        </w:rPr>
      </w:pPr>
    </w:p>
    <w:p w:rsidR="00897481" w:rsidRDefault="00897481" w:rsidP="00897481">
      <w:pPr>
        <w:numPr>
          <w:ilvl w:val="0"/>
          <w:numId w:val="1"/>
        </w:numPr>
        <w:spacing w:after="0" w:line="240" w:lineRule="auto"/>
        <w:outlineLvl w:val="2"/>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ANALISE TÉCNICA</w:t>
      </w:r>
    </w:p>
    <w:p w:rsidR="00897481" w:rsidRDefault="00897481" w:rsidP="00897481">
      <w:pPr>
        <w:spacing w:after="0" w:line="240" w:lineRule="auto"/>
        <w:outlineLvl w:val="2"/>
        <w:rPr>
          <w:rFonts w:ascii="Times New Roman" w:eastAsia="Times New Roman" w:hAnsi="Times New Roman" w:cs="Times New Roman"/>
          <w:b/>
          <w:bCs/>
          <w:sz w:val="24"/>
          <w:szCs w:val="24"/>
          <w:lang w:eastAsia="pt-BR"/>
        </w:rPr>
      </w:pPr>
    </w:p>
    <w:p w:rsidR="00897481" w:rsidRDefault="00897481" w:rsidP="00897481">
      <w:pPr>
        <w:spacing w:after="0" w:line="240" w:lineRule="auto"/>
        <w:ind w:firstLine="360"/>
        <w:jc w:val="both"/>
        <w:rPr>
          <w:rFonts w:ascii="Times New Roman" w:eastAsia="Times New Roman" w:hAnsi="Times New Roman" w:cs="Times New Roman"/>
          <w:sz w:val="24"/>
          <w:szCs w:val="24"/>
          <w:lang w:eastAsia="pt-BR"/>
        </w:rPr>
      </w:pPr>
      <w:r w:rsidRPr="00897481">
        <w:rPr>
          <w:rFonts w:ascii="Times New Roman" w:eastAsia="Times New Roman" w:hAnsi="Times New Roman" w:cs="Times New Roman"/>
          <w:sz w:val="24"/>
          <w:szCs w:val="24"/>
          <w:lang w:eastAsia="pt-BR"/>
        </w:rPr>
        <w:t xml:space="preserve">No dia 06/09/2016 foi realizada vistoria técnica no imóvel conhecido como Palacete </w:t>
      </w:r>
      <w:proofErr w:type="spellStart"/>
      <w:r w:rsidRPr="00897481">
        <w:rPr>
          <w:rFonts w:ascii="Times New Roman" w:eastAsia="Times New Roman" w:hAnsi="Times New Roman" w:cs="Times New Roman"/>
          <w:sz w:val="24"/>
          <w:szCs w:val="24"/>
          <w:lang w:eastAsia="pt-BR"/>
        </w:rPr>
        <w:t>Fellet</w:t>
      </w:r>
      <w:proofErr w:type="spellEnd"/>
      <w:r w:rsidRPr="00897481">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pelas analistas do Ministério Público, </w:t>
      </w:r>
      <w:proofErr w:type="gramStart"/>
      <w:r>
        <w:rPr>
          <w:rFonts w:ascii="Times New Roman" w:eastAsia="Times New Roman" w:hAnsi="Times New Roman" w:cs="Times New Roman"/>
          <w:sz w:val="24"/>
          <w:szCs w:val="24"/>
          <w:lang w:eastAsia="pt-BR"/>
        </w:rPr>
        <w:t>a arquiteta</w:t>
      </w:r>
      <w:proofErr w:type="gramEnd"/>
      <w:r>
        <w:rPr>
          <w:rFonts w:ascii="Times New Roman" w:eastAsia="Times New Roman" w:hAnsi="Times New Roman" w:cs="Times New Roman"/>
          <w:sz w:val="24"/>
          <w:szCs w:val="24"/>
          <w:lang w:eastAsia="pt-BR"/>
        </w:rPr>
        <w:t xml:space="preserve"> Andrea </w:t>
      </w:r>
      <w:proofErr w:type="spellStart"/>
      <w:r>
        <w:rPr>
          <w:rFonts w:ascii="Times New Roman" w:eastAsia="Times New Roman" w:hAnsi="Times New Roman" w:cs="Times New Roman"/>
          <w:sz w:val="24"/>
          <w:szCs w:val="24"/>
          <w:lang w:eastAsia="pt-BR"/>
        </w:rPr>
        <w:t>Lanna</w:t>
      </w:r>
      <w:proofErr w:type="spellEnd"/>
      <w:r>
        <w:rPr>
          <w:rFonts w:ascii="Times New Roman" w:eastAsia="Times New Roman" w:hAnsi="Times New Roman" w:cs="Times New Roman"/>
          <w:sz w:val="24"/>
          <w:szCs w:val="24"/>
          <w:lang w:eastAsia="pt-BR"/>
        </w:rPr>
        <w:t xml:space="preserve"> Mendes Novais e a historiadora </w:t>
      </w:r>
      <w:proofErr w:type="spellStart"/>
      <w:r>
        <w:rPr>
          <w:rFonts w:ascii="Times New Roman" w:eastAsia="Times New Roman" w:hAnsi="Times New Roman" w:cs="Times New Roman"/>
          <w:sz w:val="24"/>
          <w:szCs w:val="24"/>
          <w:lang w:eastAsia="pt-BR"/>
        </w:rPr>
        <w:t>Neise</w:t>
      </w:r>
      <w:proofErr w:type="spellEnd"/>
      <w:r>
        <w:rPr>
          <w:rFonts w:ascii="Times New Roman" w:eastAsia="Times New Roman" w:hAnsi="Times New Roman" w:cs="Times New Roman"/>
          <w:sz w:val="24"/>
          <w:szCs w:val="24"/>
          <w:lang w:eastAsia="pt-BR"/>
        </w:rPr>
        <w:t xml:space="preserve"> Mendes Duarte.</w:t>
      </w:r>
    </w:p>
    <w:p w:rsidR="002A6088" w:rsidRDefault="00897481" w:rsidP="00897481">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Na oportunidade foi constatado que o imóvel encontra-se cercado por muro de alvenaria e por tapumes metálicos instalados no ano de 2014, após a queda de parte do muro. Entretanto, o </w:t>
      </w:r>
      <w:proofErr w:type="spellStart"/>
      <w:r>
        <w:rPr>
          <w:rFonts w:ascii="Times New Roman" w:eastAsia="Times New Roman" w:hAnsi="Times New Roman" w:cs="Times New Roman"/>
          <w:sz w:val="24"/>
          <w:szCs w:val="24"/>
          <w:lang w:eastAsia="pt-BR"/>
        </w:rPr>
        <w:t>cercamento</w:t>
      </w:r>
      <w:proofErr w:type="spellEnd"/>
      <w:r>
        <w:rPr>
          <w:rFonts w:ascii="Times New Roman" w:eastAsia="Times New Roman" w:hAnsi="Times New Roman" w:cs="Times New Roman"/>
          <w:sz w:val="24"/>
          <w:szCs w:val="24"/>
          <w:lang w:eastAsia="pt-BR"/>
        </w:rPr>
        <w:t xml:space="preserve"> não impede o acesso de moradores de rua ao imóvel que utilizam os trechos remanescentes como moradia. Há sinais de </w:t>
      </w:r>
      <w:r w:rsidR="002A6088">
        <w:rPr>
          <w:rFonts w:ascii="Times New Roman" w:eastAsia="Times New Roman" w:hAnsi="Times New Roman" w:cs="Times New Roman"/>
          <w:sz w:val="24"/>
          <w:szCs w:val="24"/>
          <w:lang w:eastAsia="pt-BR"/>
        </w:rPr>
        <w:t>fogo nas alvenarias do imóvel.</w:t>
      </w:r>
    </w:p>
    <w:p w:rsidR="00897481" w:rsidRDefault="002A6088" w:rsidP="00897481">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Constatou-se que </w:t>
      </w:r>
      <w:proofErr w:type="gramStart"/>
      <w:r>
        <w:rPr>
          <w:rFonts w:ascii="Times New Roman" w:eastAsia="Times New Roman" w:hAnsi="Times New Roman" w:cs="Times New Roman"/>
          <w:sz w:val="24"/>
          <w:szCs w:val="24"/>
          <w:lang w:eastAsia="pt-BR"/>
        </w:rPr>
        <w:t>grande parte das alvenarias frontais se perderam</w:t>
      </w:r>
      <w:proofErr w:type="gramEnd"/>
      <w:r>
        <w:rPr>
          <w:rFonts w:ascii="Times New Roman" w:eastAsia="Times New Roman" w:hAnsi="Times New Roman" w:cs="Times New Roman"/>
          <w:sz w:val="24"/>
          <w:szCs w:val="24"/>
          <w:lang w:eastAsia="pt-BR"/>
        </w:rPr>
        <w:t xml:space="preserve"> após a demolição parcial ocorrida em abril do presente ano. O alpendre e as colunas </w:t>
      </w:r>
      <w:r w:rsidR="00626C2C">
        <w:rPr>
          <w:rFonts w:ascii="Times New Roman" w:eastAsia="Times New Roman" w:hAnsi="Times New Roman" w:cs="Times New Roman"/>
          <w:sz w:val="24"/>
          <w:szCs w:val="24"/>
          <w:lang w:eastAsia="pt-BR"/>
        </w:rPr>
        <w:t>não existem mais,</w:t>
      </w:r>
      <w:r>
        <w:rPr>
          <w:rFonts w:ascii="Times New Roman" w:eastAsia="Times New Roman" w:hAnsi="Times New Roman" w:cs="Times New Roman"/>
          <w:sz w:val="24"/>
          <w:szCs w:val="24"/>
          <w:lang w:eastAsia="pt-BR"/>
        </w:rPr>
        <w:t xml:space="preserve"> permanecendo no local pequeno trecho </w:t>
      </w:r>
      <w:r w:rsidR="00626C2C">
        <w:rPr>
          <w:rFonts w:ascii="Times New Roman" w:eastAsia="Times New Roman" w:hAnsi="Times New Roman" w:cs="Times New Roman"/>
          <w:sz w:val="24"/>
          <w:szCs w:val="24"/>
          <w:lang w:eastAsia="pt-BR"/>
        </w:rPr>
        <w:t xml:space="preserve">original da esquerda da fachada frontal, </w:t>
      </w:r>
      <w:r w:rsidR="007936CE">
        <w:rPr>
          <w:rFonts w:ascii="Times New Roman" w:eastAsia="Times New Roman" w:hAnsi="Times New Roman" w:cs="Times New Roman"/>
          <w:sz w:val="24"/>
          <w:szCs w:val="24"/>
          <w:lang w:eastAsia="pt-BR"/>
        </w:rPr>
        <w:t xml:space="preserve">fachada lateral esquerda e </w:t>
      </w:r>
      <w:r w:rsidR="00626C2C">
        <w:rPr>
          <w:rFonts w:ascii="Times New Roman" w:eastAsia="Times New Roman" w:hAnsi="Times New Roman" w:cs="Times New Roman"/>
          <w:sz w:val="24"/>
          <w:szCs w:val="24"/>
          <w:lang w:eastAsia="pt-BR"/>
        </w:rPr>
        <w:t xml:space="preserve">de fundos (com esquadrias descaracterizadas) e </w:t>
      </w:r>
      <w:r w:rsidR="007936CE">
        <w:rPr>
          <w:rFonts w:ascii="Times New Roman" w:eastAsia="Times New Roman" w:hAnsi="Times New Roman" w:cs="Times New Roman"/>
          <w:sz w:val="24"/>
          <w:szCs w:val="24"/>
          <w:lang w:eastAsia="pt-BR"/>
        </w:rPr>
        <w:t xml:space="preserve">a base da escadaria. Também </w:t>
      </w:r>
      <w:proofErr w:type="gramStart"/>
      <w:r w:rsidR="007936CE">
        <w:rPr>
          <w:rFonts w:ascii="Times New Roman" w:eastAsia="Times New Roman" w:hAnsi="Times New Roman" w:cs="Times New Roman"/>
          <w:sz w:val="24"/>
          <w:szCs w:val="24"/>
          <w:lang w:eastAsia="pt-BR"/>
        </w:rPr>
        <w:t>encontram-se</w:t>
      </w:r>
      <w:proofErr w:type="gramEnd"/>
      <w:r w:rsidR="007936CE">
        <w:rPr>
          <w:rFonts w:ascii="Times New Roman" w:eastAsia="Times New Roman" w:hAnsi="Times New Roman" w:cs="Times New Roman"/>
          <w:sz w:val="24"/>
          <w:szCs w:val="24"/>
          <w:lang w:eastAsia="pt-BR"/>
        </w:rPr>
        <w:t xml:space="preserve"> preservados acréscimos existentes nas duas laterais e nos fundos da edificação. </w:t>
      </w:r>
      <w:r>
        <w:rPr>
          <w:rFonts w:ascii="Times New Roman" w:eastAsia="Times New Roman" w:hAnsi="Times New Roman" w:cs="Times New Roman"/>
          <w:sz w:val="24"/>
          <w:szCs w:val="24"/>
          <w:lang w:eastAsia="pt-BR"/>
        </w:rPr>
        <w:t xml:space="preserve">   </w:t>
      </w:r>
    </w:p>
    <w:p w:rsidR="002A6088" w:rsidRDefault="002A6088" w:rsidP="00897481">
      <w:pPr>
        <w:spacing w:after="0" w:line="240" w:lineRule="auto"/>
        <w:ind w:firstLine="360"/>
        <w:jc w:val="both"/>
        <w:rPr>
          <w:rFonts w:ascii="Times New Roman" w:eastAsia="Times New Roman" w:hAnsi="Times New Roman" w:cs="Times New Roman"/>
          <w:sz w:val="24"/>
          <w:szCs w:val="24"/>
          <w:lang w:eastAsia="pt-BR"/>
        </w:rPr>
      </w:pPr>
    </w:p>
    <w:tbl>
      <w:tblPr>
        <w:tblStyle w:val="Tabelacomgrade"/>
        <w:tblW w:w="8755" w:type="dxa"/>
        <w:tblLayout w:type="fixed"/>
        <w:tblLook w:val="04A0" w:firstRow="1" w:lastRow="0" w:firstColumn="1" w:lastColumn="0" w:noHBand="0" w:noVBand="1"/>
      </w:tblPr>
      <w:tblGrid>
        <w:gridCol w:w="4222"/>
        <w:gridCol w:w="4503"/>
        <w:gridCol w:w="30"/>
      </w:tblGrid>
      <w:tr w:rsidR="002A6088" w:rsidTr="007936CE">
        <w:trPr>
          <w:gridAfter w:val="1"/>
          <w:wAfter w:w="30" w:type="dxa"/>
        </w:trPr>
        <w:tc>
          <w:tcPr>
            <w:tcW w:w="4222" w:type="dxa"/>
          </w:tcPr>
          <w:p w:rsidR="002A6088" w:rsidRDefault="002A6088" w:rsidP="00897481">
            <w:pPr>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42F5545A" wp14:editId="58B1E1F3">
                  <wp:extent cx="2581275" cy="18288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marco 2014.jpg"/>
                          <pic:cNvPicPr/>
                        </pic:nvPicPr>
                        <pic:blipFill rotWithShape="1">
                          <a:blip r:embed="rId9" cstate="print">
                            <a:extLst>
                              <a:ext uri="{28A0092B-C50C-407E-A947-70E740481C1C}">
                                <a14:useLocalDpi xmlns:a14="http://schemas.microsoft.com/office/drawing/2010/main" val="0"/>
                              </a:ext>
                            </a:extLst>
                          </a:blip>
                          <a:srcRect l="8307" r="5112" b="17876"/>
                          <a:stretch/>
                        </pic:blipFill>
                        <pic:spPr bwMode="auto">
                          <a:xfrm>
                            <a:off x="0" y="0"/>
                            <a:ext cx="2586410" cy="1832438"/>
                          </a:xfrm>
                          <a:prstGeom prst="rect">
                            <a:avLst/>
                          </a:prstGeom>
                          <a:ln>
                            <a:noFill/>
                          </a:ln>
                          <a:extLst>
                            <a:ext uri="{53640926-AAD7-44D8-BBD7-CCE9431645EC}">
                              <a14:shadowObscured xmlns:a14="http://schemas.microsoft.com/office/drawing/2010/main"/>
                            </a:ext>
                          </a:extLst>
                        </pic:spPr>
                      </pic:pic>
                    </a:graphicData>
                  </a:graphic>
                </wp:inline>
              </w:drawing>
            </w:r>
          </w:p>
        </w:tc>
        <w:tc>
          <w:tcPr>
            <w:tcW w:w="4503" w:type="dxa"/>
          </w:tcPr>
          <w:p w:rsidR="002A6088" w:rsidRDefault="002A6088" w:rsidP="00897481">
            <w:pPr>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3B361EA4" wp14:editId="26423A9E">
                  <wp:extent cx="2982686" cy="1828800"/>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521.jpg"/>
                          <pic:cNvPicPr/>
                        </pic:nvPicPr>
                        <pic:blipFill rotWithShape="1">
                          <a:blip r:embed="rId10" cstate="print">
                            <a:extLst>
                              <a:ext uri="{28A0092B-C50C-407E-A947-70E740481C1C}">
                                <a14:useLocalDpi xmlns:a14="http://schemas.microsoft.com/office/drawing/2010/main" val="0"/>
                              </a:ext>
                            </a:extLst>
                          </a:blip>
                          <a:srcRect l="19764" t="24000" r="7707" b="16706"/>
                          <a:stretch/>
                        </pic:blipFill>
                        <pic:spPr bwMode="auto">
                          <a:xfrm>
                            <a:off x="0" y="0"/>
                            <a:ext cx="2985226" cy="1830357"/>
                          </a:xfrm>
                          <a:prstGeom prst="rect">
                            <a:avLst/>
                          </a:prstGeom>
                          <a:ln>
                            <a:noFill/>
                          </a:ln>
                          <a:extLst>
                            <a:ext uri="{53640926-AAD7-44D8-BBD7-CCE9431645EC}">
                              <a14:shadowObscured xmlns:a14="http://schemas.microsoft.com/office/drawing/2010/main"/>
                            </a:ext>
                          </a:extLst>
                        </pic:spPr>
                      </pic:pic>
                    </a:graphicData>
                  </a:graphic>
                </wp:inline>
              </w:drawing>
            </w:r>
          </w:p>
        </w:tc>
      </w:tr>
      <w:tr w:rsidR="002A6088" w:rsidRPr="002A6088" w:rsidTr="007936CE">
        <w:trPr>
          <w:gridAfter w:val="1"/>
          <w:wAfter w:w="30" w:type="dxa"/>
        </w:trPr>
        <w:tc>
          <w:tcPr>
            <w:tcW w:w="4222" w:type="dxa"/>
          </w:tcPr>
          <w:p w:rsidR="002A6088" w:rsidRPr="002A6088" w:rsidRDefault="002A6088" w:rsidP="00897481">
            <w:pPr>
              <w:jc w:val="both"/>
              <w:rPr>
                <w:rFonts w:ascii="Times New Roman" w:eastAsia="Times New Roman" w:hAnsi="Times New Roman" w:cs="Times New Roman"/>
                <w:lang w:eastAsia="pt-BR"/>
              </w:rPr>
            </w:pPr>
            <w:r w:rsidRPr="002A6088">
              <w:rPr>
                <w:rFonts w:ascii="Times New Roman" w:eastAsia="Times New Roman" w:hAnsi="Times New Roman" w:cs="Times New Roman"/>
                <w:lang w:eastAsia="pt-BR"/>
              </w:rPr>
              <w:t>Figura 01 – Imagem da edificação em 21/03/2014.</w:t>
            </w:r>
          </w:p>
        </w:tc>
        <w:tc>
          <w:tcPr>
            <w:tcW w:w="4503" w:type="dxa"/>
          </w:tcPr>
          <w:p w:rsidR="002A6088" w:rsidRPr="002A6088" w:rsidRDefault="002A6088" w:rsidP="00897481">
            <w:pPr>
              <w:jc w:val="both"/>
              <w:rPr>
                <w:rFonts w:ascii="Times New Roman" w:eastAsia="Times New Roman" w:hAnsi="Times New Roman" w:cs="Times New Roman"/>
                <w:lang w:eastAsia="pt-BR"/>
              </w:rPr>
            </w:pPr>
            <w:r w:rsidRPr="002A6088">
              <w:rPr>
                <w:rFonts w:ascii="Times New Roman" w:eastAsia="Times New Roman" w:hAnsi="Times New Roman" w:cs="Times New Roman"/>
                <w:lang w:eastAsia="pt-BR"/>
              </w:rPr>
              <w:t>Figura 02 – Imagem da edificação em 06/09/2016.</w:t>
            </w:r>
          </w:p>
        </w:tc>
      </w:tr>
      <w:tr w:rsidR="007936CE" w:rsidTr="007936CE">
        <w:tc>
          <w:tcPr>
            <w:tcW w:w="4222" w:type="dxa"/>
          </w:tcPr>
          <w:p w:rsidR="007936CE" w:rsidRDefault="007936CE" w:rsidP="00897481">
            <w:pPr>
              <w:jc w:val="both"/>
              <w:rPr>
                <w:rFonts w:ascii="Times New Roman" w:eastAsia="Times New Roman" w:hAnsi="Times New Roman" w:cs="Times New Roman"/>
                <w:sz w:val="24"/>
                <w:szCs w:val="24"/>
                <w:lang w:eastAsia="pt-BR"/>
              </w:rPr>
            </w:pPr>
            <w:r>
              <w:rPr>
                <w:noProof/>
                <w:lang w:eastAsia="pt-BR"/>
              </w:rPr>
              <w:lastRenderedPageBreak/>
              <w:drawing>
                <wp:inline distT="0" distB="0" distL="0" distR="0" wp14:anchorId="59B0368F" wp14:editId="5829FDB0">
                  <wp:extent cx="2627168" cy="1562100"/>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744" t="25096" r="6526" b="12794"/>
                          <a:stretch/>
                        </pic:blipFill>
                        <pic:spPr bwMode="auto">
                          <a:xfrm>
                            <a:off x="0" y="0"/>
                            <a:ext cx="2626859" cy="1561916"/>
                          </a:xfrm>
                          <a:prstGeom prst="rect">
                            <a:avLst/>
                          </a:prstGeom>
                          <a:ln>
                            <a:noFill/>
                          </a:ln>
                          <a:extLst>
                            <a:ext uri="{53640926-AAD7-44D8-BBD7-CCE9431645EC}">
                              <a14:shadowObscured xmlns:a14="http://schemas.microsoft.com/office/drawing/2010/main"/>
                            </a:ext>
                          </a:extLst>
                        </pic:spPr>
                      </pic:pic>
                    </a:graphicData>
                  </a:graphic>
                </wp:inline>
              </w:drawing>
            </w:r>
          </w:p>
        </w:tc>
        <w:tc>
          <w:tcPr>
            <w:tcW w:w="4533" w:type="dxa"/>
            <w:gridSpan w:val="2"/>
          </w:tcPr>
          <w:p w:rsidR="007936CE" w:rsidRDefault="007936CE" w:rsidP="00897481">
            <w:pPr>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09C27C55" wp14:editId="05287816">
                  <wp:extent cx="2996916" cy="15621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517.jpg"/>
                          <pic:cNvPicPr/>
                        </pic:nvPicPr>
                        <pic:blipFill rotWithShape="1">
                          <a:blip r:embed="rId12" cstate="print">
                            <a:extLst>
                              <a:ext uri="{28A0092B-C50C-407E-A947-70E740481C1C}">
                                <a14:useLocalDpi xmlns:a14="http://schemas.microsoft.com/office/drawing/2010/main" val="0"/>
                              </a:ext>
                            </a:extLst>
                          </a:blip>
                          <a:srcRect l="18057" t="24537" b="18519"/>
                          <a:stretch/>
                        </pic:blipFill>
                        <pic:spPr bwMode="auto">
                          <a:xfrm>
                            <a:off x="0" y="0"/>
                            <a:ext cx="2997129" cy="1562211"/>
                          </a:xfrm>
                          <a:prstGeom prst="rect">
                            <a:avLst/>
                          </a:prstGeom>
                          <a:ln>
                            <a:noFill/>
                          </a:ln>
                          <a:extLst>
                            <a:ext uri="{53640926-AAD7-44D8-BBD7-CCE9431645EC}">
                              <a14:shadowObscured xmlns:a14="http://schemas.microsoft.com/office/drawing/2010/main"/>
                            </a:ext>
                          </a:extLst>
                        </pic:spPr>
                      </pic:pic>
                    </a:graphicData>
                  </a:graphic>
                </wp:inline>
              </w:drawing>
            </w:r>
          </w:p>
        </w:tc>
      </w:tr>
      <w:tr w:rsidR="007936CE" w:rsidRPr="00611FF1" w:rsidTr="007936CE">
        <w:tc>
          <w:tcPr>
            <w:tcW w:w="4222" w:type="dxa"/>
          </w:tcPr>
          <w:p w:rsidR="007936CE" w:rsidRPr="00611FF1" w:rsidRDefault="00611FF1" w:rsidP="00897481">
            <w:pPr>
              <w:jc w:val="both"/>
              <w:rPr>
                <w:rFonts w:ascii="Times New Roman" w:eastAsia="Times New Roman" w:hAnsi="Times New Roman" w:cs="Times New Roman"/>
                <w:lang w:eastAsia="pt-BR"/>
              </w:rPr>
            </w:pPr>
            <w:r w:rsidRPr="00611FF1">
              <w:rPr>
                <w:rFonts w:ascii="Times New Roman" w:eastAsia="Times New Roman" w:hAnsi="Times New Roman" w:cs="Times New Roman"/>
                <w:lang w:eastAsia="pt-BR"/>
              </w:rPr>
              <w:t xml:space="preserve">Figura 03 – </w:t>
            </w:r>
            <w:proofErr w:type="gramStart"/>
            <w:r w:rsidRPr="00611FF1">
              <w:rPr>
                <w:rFonts w:ascii="Times New Roman" w:eastAsia="Times New Roman" w:hAnsi="Times New Roman" w:cs="Times New Roman"/>
                <w:lang w:eastAsia="pt-BR"/>
              </w:rPr>
              <w:t>Lateral esquerda e fundos da edificação em 2015</w:t>
            </w:r>
            <w:proofErr w:type="gramEnd"/>
            <w:r w:rsidRPr="00611FF1">
              <w:rPr>
                <w:rFonts w:ascii="Times New Roman" w:eastAsia="Times New Roman" w:hAnsi="Times New Roman" w:cs="Times New Roman"/>
                <w:lang w:eastAsia="pt-BR"/>
              </w:rPr>
              <w:t xml:space="preserve">. </w:t>
            </w:r>
          </w:p>
        </w:tc>
        <w:tc>
          <w:tcPr>
            <w:tcW w:w="4533" w:type="dxa"/>
            <w:gridSpan w:val="2"/>
          </w:tcPr>
          <w:p w:rsidR="007936CE" w:rsidRPr="00611FF1" w:rsidRDefault="00611FF1" w:rsidP="00897481">
            <w:pPr>
              <w:jc w:val="both"/>
              <w:rPr>
                <w:rFonts w:ascii="Times New Roman" w:eastAsia="Times New Roman" w:hAnsi="Times New Roman" w:cs="Times New Roman"/>
                <w:lang w:eastAsia="pt-BR"/>
              </w:rPr>
            </w:pPr>
            <w:r w:rsidRPr="00611FF1">
              <w:rPr>
                <w:rFonts w:ascii="Times New Roman" w:eastAsia="Times New Roman" w:hAnsi="Times New Roman" w:cs="Times New Roman"/>
                <w:lang w:eastAsia="pt-BR"/>
              </w:rPr>
              <w:t xml:space="preserve">Figura 04 – </w:t>
            </w:r>
            <w:proofErr w:type="gramStart"/>
            <w:r w:rsidRPr="00611FF1">
              <w:rPr>
                <w:rFonts w:ascii="Times New Roman" w:eastAsia="Times New Roman" w:hAnsi="Times New Roman" w:cs="Times New Roman"/>
                <w:lang w:eastAsia="pt-BR"/>
              </w:rPr>
              <w:t>Lateral esquerda e fundos da edificação em setembro</w:t>
            </w:r>
            <w:proofErr w:type="gramEnd"/>
            <w:r w:rsidRPr="00611FF1">
              <w:rPr>
                <w:rFonts w:ascii="Times New Roman" w:eastAsia="Times New Roman" w:hAnsi="Times New Roman" w:cs="Times New Roman"/>
                <w:lang w:eastAsia="pt-BR"/>
              </w:rPr>
              <w:t xml:space="preserve"> de 2016.</w:t>
            </w:r>
          </w:p>
        </w:tc>
      </w:tr>
    </w:tbl>
    <w:p w:rsidR="002A6088" w:rsidRDefault="002A6088" w:rsidP="00897481">
      <w:pPr>
        <w:spacing w:after="0" w:line="240" w:lineRule="auto"/>
        <w:ind w:firstLine="360"/>
        <w:jc w:val="both"/>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9003"/>
      </w:tblGrid>
      <w:tr w:rsidR="00626C2C" w:rsidTr="00626C2C">
        <w:tc>
          <w:tcPr>
            <w:tcW w:w="8927" w:type="dxa"/>
          </w:tcPr>
          <w:p w:rsidR="00626C2C" w:rsidRDefault="00626C2C" w:rsidP="00897481">
            <w:pPr>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5572125" cy="27622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526.jpg"/>
                          <pic:cNvPicPr/>
                        </pic:nvPicPr>
                        <pic:blipFill rotWithShape="1">
                          <a:blip r:embed="rId13" cstate="print">
                            <a:extLst>
                              <a:ext uri="{28A0092B-C50C-407E-A947-70E740481C1C}">
                                <a14:useLocalDpi xmlns:a14="http://schemas.microsoft.com/office/drawing/2010/main" val="0"/>
                              </a:ext>
                            </a:extLst>
                          </a:blip>
                          <a:srcRect t="24601" b="9299"/>
                          <a:stretch/>
                        </pic:blipFill>
                        <pic:spPr bwMode="auto">
                          <a:xfrm>
                            <a:off x="0" y="0"/>
                            <a:ext cx="5579745" cy="2766027"/>
                          </a:xfrm>
                          <a:prstGeom prst="rect">
                            <a:avLst/>
                          </a:prstGeom>
                          <a:ln>
                            <a:noFill/>
                          </a:ln>
                          <a:extLst>
                            <a:ext uri="{53640926-AAD7-44D8-BBD7-CCE9431645EC}">
                              <a14:shadowObscured xmlns:a14="http://schemas.microsoft.com/office/drawing/2010/main"/>
                            </a:ext>
                          </a:extLst>
                        </pic:spPr>
                      </pic:pic>
                    </a:graphicData>
                  </a:graphic>
                </wp:inline>
              </w:drawing>
            </w:r>
          </w:p>
        </w:tc>
      </w:tr>
      <w:tr w:rsidR="00626C2C" w:rsidRPr="00626C2C" w:rsidTr="00626C2C">
        <w:tc>
          <w:tcPr>
            <w:tcW w:w="8927" w:type="dxa"/>
          </w:tcPr>
          <w:p w:rsidR="00626C2C" w:rsidRPr="00626C2C" w:rsidRDefault="00626C2C" w:rsidP="00897481">
            <w:pPr>
              <w:jc w:val="both"/>
              <w:rPr>
                <w:rFonts w:ascii="Times New Roman" w:eastAsia="Times New Roman" w:hAnsi="Times New Roman" w:cs="Times New Roman"/>
                <w:lang w:eastAsia="pt-BR"/>
              </w:rPr>
            </w:pPr>
            <w:r w:rsidRPr="00626C2C">
              <w:rPr>
                <w:rFonts w:ascii="Times New Roman" w:eastAsia="Times New Roman" w:hAnsi="Times New Roman" w:cs="Times New Roman"/>
                <w:lang w:eastAsia="pt-BR"/>
              </w:rPr>
              <w:t>Figura 05 – Imagem geral do imóvel em setembro de 2016.</w:t>
            </w:r>
          </w:p>
        </w:tc>
      </w:tr>
    </w:tbl>
    <w:p w:rsidR="00897481" w:rsidRDefault="00897481" w:rsidP="00897481">
      <w:pPr>
        <w:spacing w:after="0" w:line="240" w:lineRule="auto"/>
        <w:ind w:firstLine="360"/>
        <w:jc w:val="both"/>
        <w:rPr>
          <w:rFonts w:ascii="Times New Roman" w:eastAsia="Times New Roman" w:hAnsi="Times New Roman" w:cs="Times New Roman"/>
          <w:sz w:val="24"/>
          <w:szCs w:val="24"/>
          <w:lang w:eastAsia="pt-BR"/>
        </w:rPr>
      </w:pPr>
    </w:p>
    <w:p w:rsidR="00936167" w:rsidRPr="00936167" w:rsidRDefault="00936167" w:rsidP="00936167">
      <w:pPr>
        <w:spacing w:after="0" w:line="240" w:lineRule="auto"/>
        <w:ind w:firstLine="360"/>
        <w:jc w:val="both"/>
        <w:rPr>
          <w:rFonts w:ascii="Times New Roman" w:eastAsia="Times New Roman" w:hAnsi="Times New Roman" w:cs="Times New Roman"/>
          <w:sz w:val="24"/>
          <w:szCs w:val="24"/>
          <w:lang w:eastAsia="pt-BR"/>
        </w:rPr>
      </w:pPr>
      <w:r w:rsidRPr="00936167">
        <w:rPr>
          <w:rFonts w:ascii="Times New Roman" w:eastAsia="Times New Roman" w:hAnsi="Times New Roman" w:cs="Times New Roman"/>
          <w:sz w:val="24"/>
          <w:szCs w:val="24"/>
          <w:lang w:eastAsia="pt-BR"/>
        </w:rPr>
        <w:t xml:space="preserve">O “Palacete </w:t>
      </w:r>
      <w:proofErr w:type="spellStart"/>
      <w:r w:rsidRPr="00936167">
        <w:rPr>
          <w:rFonts w:ascii="Times New Roman" w:eastAsia="Times New Roman" w:hAnsi="Times New Roman" w:cs="Times New Roman"/>
          <w:sz w:val="24"/>
          <w:szCs w:val="24"/>
          <w:lang w:eastAsia="pt-BR"/>
        </w:rPr>
        <w:t>Fellet</w:t>
      </w:r>
      <w:proofErr w:type="spellEnd"/>
      <w:r w:rsidRPr="00936167">
        <w:rPr>
          <w:rFonts w:ascii="Times New Roman" w:eastAsia="Times New Roman" w:hAnsi="Times New Roman" w:cs="Times New Roman"/>
          <w:sz w:val="24"/>
          <w:szCs w:val="24"/>
          <w:lang w:eastAsia="pt-BR"/>
        </w:rPr>
        <w:t>”</w:t>
      </w:r>
      <w:proofErr w:type="gramStart"/>
      <w:r w:rsidRPr="00936167">
        <w:rPr>
          <w:rFonts w:ascii="Times New Roman" w:eastAsia="Times New Roman" w:hAnsi="Times New Roman" w:cs="Times New Roman"/>
          <w:sz w:val="24"/>
          <w:szCs w:val="24"/>
          <w:lang w:eastAsia="pt-BR"/>
        </w:rPr>
        <w:t>, teve</w:t>
      </w:r>
      <w:proofErr w:type="gramEnd"/>
      <w:r w:rsidRPr="00936167">
        <w:rPr>
          <w:rFonts w:ascii="Times New Roman" w:eastAsia="Times New Roman" w:hAnsi="Times New Roman" w:cs="Times New Roman"/>
          <w:sz w:val="24"/>
          <w:szCs w:val="24"/>
          <w:lang w:eastAsia="pt-BR"/>
        </w:rPr>
        <w:t xml:space="preserve"> sua importância arquitetônica, histórica e cultural reconhecida por decisão irrecorrível do Tribunal de Justiça de Minas Gerais, proferida em Ação Civil Pública n.º 0145 94 003242-1, transitada em julgado em 23 de outubro de 2001. </w:t>
      </w:r>
      <w:r>
        <w:rPr>
          <w:rFonts w:ascii="Times New Roman" w:eastAsia="Times New Roman" w:hAnsi="Times New Roman" w:cs="Times New Roman"/>
          <w:sz w:val="24"/>
          <w:szCs w:val="24"/>
          <w:lang w:eastAsia="pt-BR"/>
        </w:rPr>
        <w:t>A</w:t>
      </w:r>
      <w:r w:rsidRPr="00936167">
        <w:rPr>
          <w:rFonts w:ascii="Times New Roman" w:eastAsia="Times New Roman" w:hAnsi="Times New Roman" w:cs="Times New Roman"/>
          <w:sz w:val="24"/>
          <w:szCs w:val="24"/>
          <w:lang w:eastAsia="pt-BR"/>
        </w:rPr>
        <w:t xml:space="preserve"> decisão judicial, condenou os responsáveis pela demolição à reconstrução do imóvel ou, na impossibilidade, à construção no local de uma área de lazer sob orientação da DIPAC/FUNALFA com aproveitamento de peças e elementos do imóvel, além de jardins e ambiência adequada a uma área de lazer, devendo, em qualquer caso, o gabarito no local ficar limitado a </w:t>
      </w:r>
      <w:proofErr w:type="gramStart"/>
      <w:r w:rsidRPr="00936167">
        <w:rPr>
          <w:rFonts w:ascii="Times New Roman" w:eastAsia="Times New Roman" w:hAnsi="Times New Roman" w:cs="Times New Roman"/>
          <w:sz w:val="24"/>
          <w:szCs w:val="24"/>
          <w:lang w:eastAsia="pt-BR"/>
        </w:rPr>
        <w:t>1</w:t>
      </w:r>
      <w:proofErr w:type="gramEnd"/>
      <w:r w:rsidRPr="00936167">
        <w:rPr>
          <w:rFonts w:ascii="Times New Roman" w:eastAsia="Times New Roman" w:hAnsi="Times New Roman" w:cs="Times New Roman"/>
          <w:sz w:val="24"/>
          <w:szCs w:val="24"/>
          <w:lang w:eastAsia="pt-BR"/>
        </w:rPr>
        <w:t xml:space="preserve"> (um) pavimento</w:t>
      </w:r>
    </w:p>
    <w:p w:rsidR="00936167" w:rsidRDefault="00936167" w:rsidP="00897481">
      <w:pPr>
        <w:spacing w:after="0" w:line="240" w:lineRule="auto"/>
        <w:ind w:firstLine="360"/>
        <w:jc w:val="both"/>
        <w:rPr>
          <w:rFonts w:ascii="Times New Roman" w:eastAsia="Times New Roman" w:hAnsi="Times New Roman" w:cs="Times New Roman"/>
          <w:sz w:val="24"/>
          <w:szCs w:val="24"/>
          <w:lang w:eastAsia="pt-BR"/>
        </w:rPr>
      </w:pPr>
    </w:p>
    <w:p w:rsidR="00936167" w:rsidRDefault="00936167" w:rsidP="00936167">
      <w:pPr>
        <w:numPr>
          <w:ilvl w:val="0"/>
          <w:numId w:val="1"/>
        </w:numPr>
        <w:spacing w:after="0" w:line="240" w:lineRule="auto"/>
        <w:outlineLvl w:val="2"/>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CONCLUSÕES</w:t>
      </w:r>
    </w:p>
    <w:p w:rsidR="00936167" w:rsidRDefault="00936167" w:rsidP="00897481">
      <w:pPr>
        <w:spacing w:after="0" w:line="240" w:lineRule="auto"/>
        <w:ind w:firstLine="360"/>
        <w:jc w:val="both"/>
        <w:rPr>
          <w:rFonts w:ascii="Times New Roman" w:eastAsia="Times New Roman" w:hAnsi="Times New Roman" w:cs="Times New Roman"/>
          <w:sz w:val="24"/>
          <w:szCs w:val="24"/>
          <w:lang w:eastAsia="pt-BR"/>
        </w:rPr>
      </w:pPr>
    </w:p>
    <w:p w:rsidR="00626C2C" w:rsidRDefault="00626C2C" w:rsidP="00897481">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Conforme descrito neste documento, desde 1994 o imóvel conhecido como Palacete </w:t>
      </w:r>
      <w:proofErr w:type="spellStart"/>
      <w:r>
        <w:rPr>
          <w:rFonts w:ascii="Times New Roman" w:eastAsia="Times New Roman" w:hAnsi="Times New Roman" w:cs="Times New Roman"/>
          <w:sz w:val="24"/>
          <w:szCs w:val="24"/>
          <w:lang w:eastAsia="pt-BR"/>
        </w:rPr>
        <w:t>Fellet</w:t>
      </w:r>
      <w:proofErr w:type="spellEnd"/>
      <w:r>
        <w:rPr>
          <w:rFonts w:ascii="Times New Roman" w:eastAsia="Times New Roman" w:hAnsi="Times New Roman" w:cs="Times New Roman"/>
          <w:sz w:val="24"/>
          <w:szCs w:val="24"/>
          <w:lang w:eastAsia="pt-BR"/>
        </w:rPr>
        <w:t xml:space="preserve">, de reconhecido valor cultural, vem sofrendo perdas, inicialmente dos seus </w:t>
      </w:r>
      <w:r>
        <w:rPr>
          <w:rFonts w:ascii="Times New Roman" w:eastAsia="Times New Roman" w:hAnsi="Times New Roman" w:cs="Times New Roman"/>
          <w:sz w:val="24"/>
          <w:szCs w:val="24"/>
          <w:lang w:eastAsia="pt-BR"/>
        </w:rPr>
        <w:lastRenderedPageBreak/>
        <w:t xml:space="preserve">elementos decorativos e cobertura, e ao longo dos anos de parte das suas alvenarias originais. </w:t>
      </w:r>
    </w:p>
    <w:p w:rsidR="00936167" w:rsidRDefault="00936167" w:rsidP="00897481">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decisão judicial de 2001 e o tombamento do imóvel ocorrido em março de 2013 não impediram a ocorrência de novos danos, como a queda do muro e a recente demolição das alvenarias frontais, e o uso indevido, que coloca em risco os poucos elementos originais remanescentes. </w:t>
      </w:r>
    </w:p>
    <w:p w:rsidR="00936167" w:rsidRDefault="00936167" w:rsidP="00936167">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Sendo assim, recomenda-se:</w:t>
      </w:r>
    </w:p>
    <w:p w:rsidR="00936167" w:rsidRPr="00A040BE" w:rsidRDefault="009B2978" w:rsidP="00A040BE">
      <w:pPr>
        <w:pStyle w:val="PargrafodaLista"/>
        <w:numPr>
          <w:ilvl w:val="0"/>
          <w:numId w:val="4"/>
        </w:num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Retirada</w:t>
      </w:r>
      <w:r w:rsidR="00936167" w:rsidRPr="00A040BE">
        <w:rPr>
          <w:rFonts w:ascii="Times New Roman" w:eastAsia="Times New Roman" w:hAnsi="Times New Roman" w:cs="Times New Roman"/>
          <w:sz w:val="24"/>
          <w:szCs w:val="24"/>
          <w:lang w:eastAsia="pt-BR"/>
        </w:rPr>
        <w:t xml:space="preserve"> dos moradores de rua do local.</w:t>
      </w:r>
    </w:p>
    <w:p w:rsidR="00A040BE" w:rsidRPr="00A040BE" w:rsidRDefault="00A040BE" w:rsidP="00A040BE">
      <w:pPr>
        <w:pStyle w:val="PargrafodaLista"/>
        <w:numPr>
          <w:ilvl w:val="0"/>
          <w:numId w:val="4"/>
        </w:numPr>
        <w:spacing w:after="0" w:line="240" w:lineRule="auto"/>
        <w:jc w:val="both"/>
        <w:rPr>
          <w:rFonts w:ascii="Times New Roman" w:eastAsia="Times New Roman" w:hAnsi="Times New Roman" w:cs="Times New Roman"/>
          <w:sz w:val="24"/>
          <w:szCs w:val="24"/>
          <w:lang w:eastAsia="pt-BR"/>
        </w:rPr>
      </w:pPr>
      <w:r w:rsidRPr="00A040BE">
        <w:rPr>
          <w:rFonts w:ascii="Times New Roman" w:eastAsia="Times New Roman" w:hAnsi="Times New Roman" w:cs="Times New Roman"/>
          <w:sz w:val="24"/>
          <w:szCs w:val="24"/>
          <w:lang w:eastAsia="pt-BR"/>
        </w:rPr>
        <w:t xml:space="preserve">Limpeza interna e externa da edificação, separando os materiais originais ainda presentes no </w:t>
      </w:r>
      <w:r w:rsidR="009B2978">
        <w:rPr>
          <w:rFonts w:ascii="Times New Roman" w:eastAsia="Times New Roman" w:hAnsi="Times New Roman" w:cs="Times New Roman"/>
          <w:sz w:val="24"/>
          <w:szCs w:val="24"/>
          <w:lang w:eastAsia="pt-BR"/>
        </w:rPr>
        <w:t>imóvel</w:t>
      </w:r>
      <w:r w:rsidRPr="00A040BE">
        <w:rPr>
          <w:rFonts w:ascii="Times New Roman" w:eastAsia="Times New Roman" w:hAnsi="Times New Roman" w:cs="Times New Roman"/>
          <w:sz w:val="24"/>
          <w:szCs w:val="24"/>
          <w:lang w:eastAsia="pt-BR"/>
        </w:rPr>
        <w:t>, que devem ser armazenados em local seguro e adequado para sua reutilização nas obras de intervenção no local.</w:t>
      </w:r>
    </w:p>
    <w:p w:rsidR="00A040BE" w:rsidRPr="00A040BE" w:rsidRDefault="00A040BE" w:rsidP="00A040BE">
      <w:pPr>
        <w:pStyle w:val="PargrafodaLista"/>
        <w:numPr>
          <w:ilvl w:val="0"/>
          <w:numId w:val="4"/>
        </w:numPr>
        <w:spacing w:after="0" w:line="240" w:lineRule="auto"/>
        <w:jc w:val="both"/>
        <w:rPr>
          <w:rFonts w:ascii="Times New Roman" w:eastAsia="Times New Roman" w:hAnsi="Times New Roman" w:cs="Times New Roman"/>
          <w:sz w:val="24"/>
          <w:szCs w:val="24"/>
          <w:lang w:eastAsia="pt-BR"/>
        </w:rPr>
      </w:pPr>
      <w:r w:rsidRPr="00A040BE">
        <w:rPr>
          <w:rFonts w:ascii="Times New Roman" w:eastAsia="Times New Roman" w:hAnsi="Times New Roman" w:cs="Times New Roman"/>
          <w:sz w:val="24"/>
          <w:szCs w:val="24"/>
          <w:lang w:eastAsia="pt-BR"/>
        </w:rPr>
        <w:t>Reforço dos muros e gradis para impedir o acesso ao imóvel.</w:t>
      </w:r>
    </w:p>
    <w:p w:rsidR="00936167" w:rsidRPr="00A040BE" w:rsidRDefault="00A040BE" w:rsidP="00A040BE">
      <w:pPr>
        <w:pStyle w:val="PargrafodaLista"/>
        <w:numPr>
          <w:ilvl w:val="0"/>
          <w:numId w:val="4"/>
        </w:numPr>
        <w:spacing w:after="0" w:line="240" w:lineRule="auto"/>
        <w:jc w:val="both"/>
        <w:rPr>
          <w:rFonts w:ascii="Times New Roman" w:eastAsia="Times New Roman" w:hAnsi="Times New Roman" w:cs="Times New Roman"/>
          <w:sz w:val="24"/>
          <w:szCs w:val="24"/>
          <w:lang w:eastAsia="pt-BR"/>
        </w:rPr>
      </w:pPr>
      <w:r w:rsidRPr="00A040BE">
        <w:rPr>
          <w:rFonts w:ascii="Times New Roman" w:eastAsia="Times New Roman" w:hAnsi="Times New Roman" w:cs="Times New Roman"/>
          <w:sz w:val="24"/>
          <w:szCs w:val="24"/>
          <w:lang w:eastAsia="pt-BR"/>
        </w:rPr>
        <w:t>C</w:t>
      </w:r>
      <w:r w:rsidR="00936167" w:rsidRPr="00A040BE">
        <w:rPr>
          <w:rFonts w:ascii="Times New Roman" w:eastAsia="Times New Roman" w:hAnsi="Times New Roman" w:cs="Times New Roman"/>
          <w:sz w:val="24"/>
          <w:szCs w:val="24"/>
          <w:lang w:eastAsia="pt-BR"/>
        </w:rPr>
        <w:t>umprir com urgência a decisão judicial</w:t>
      </w:r>
      <w:r w:rsidRPr="00A040BE">
        <w:rPr>
          <w:rFonts w:ascii="Times New Roman" w:eastAsia="Times New Roman" w:hAnsi="Times New Roman" w:cs="Times New Roman"/>
          <w:sz w:val="24"/>
          <w:szCs w:val="24"/>
          <w:lang w:eastAsia="pt-BR"/>
        </w:rPr>
        <w:t>, que</w:t>
      </w:r>
      <w:r w:rsidR="00936167" w:rsidRPr="00A040BE">
        <w:rPr>
          <w:rFonts w:ascii="Times New Roman" w:eastAsia="Times New Roman" w:hAnsi="Times New Roman" w:cs="Times New Roman"/>
          <w:sz w:val="24"/>
          <w:szCs w:val="24"/>
          <w:lang w:eastAsia="pt-BR"/>
        </w:rPr>
        <w:t xml:space="preserve"> condenou os responsáveis pela demolição à reconstrução do imóvel ou, na impossibilidade, à construção no local de uma área de lazer sob orientação da DIPAC/FUNALFA com aproveitamento de peças e elementos do imóvel, além de jardins e ambiência adequada a uma área de lazer, devendo, em qualquer caso, o gabarito no local ficar limitado a </w:t>
      </w:r>
      <w:proofErr w:type="gramStart"/>
      <w:r w:rsidR="00936167" w:rsidRPr="00A040BE">
        <w:rPr>
          <w:rFonts w:ascii="Times New Roman" w:eastAsia="Times New Roman" w:hAnsi="Times New Roman" w:cs="Times New Roman"/>
          <w:sz w:val="24"/>
          <w:szCs w:val="24"/>
          <w:lang w:eastAsia="pt-BR"/>
        </w:rPr>
        <w:t>1</w:t>
      </w:r>
      <w:proofErr w:type="gramEnd"/>
      <w:r w:rsidR="00936167" w:rsidRPr="00A040BE">
        <w:rPr>
          <w:rFonts w:ascii="Times New Roman" w:eastAsia="Times New Roman" w:hAnsi="Times New Roman" w:cs="Times New Roman"/>
          <w:sz w:val="24"/>
          <w:szCs w:val="24"/>
          <w:lang w:eastAsia="pt-BR"/>
        </w:rPr>
        <w:t xml:space="preserve"> (um) pavimento</w:t>
      </w:r>
      <w:r w:rsidRPr="00A040BE">
        <w:rPr>
          <w:rFonts w:ascii="Times New Roman" w:eastAsia="Times New Roman" w:hAnsi="Times New Roman" w:cs="Times New Roman"/>
          <w:sz w:val="24"/>
          <w:szCs w:val="24"/>
          <w:lang w:eastAsia="pt-BR"/>
        </w:rPr>
        <w:t xml:space="preserve">. </w:t>
      </w:r>
    </w:p>
    <w:p w:rsidR="00936167" w:rsidRDefault="00936167" w:rsidP="00897481">
      <w:pPr>
        <w:spacing w:after="0" w:line="240" w:lineRule="auto"/>
        <w:ind w:firstLine="360"/>
        <w:jc w:val="both"/>
        <w:rPr>
          <w:rFonts w:ascii="Times New Roman" w:eastAsia="Times New Roman" w:hAnsi="Times New Roman" w:cs="Times New Roman"/>
          <w:sz w:val="24"/>
          <w:szCs w:val="24"/>
          <w:lang w:eastAsia="pt-BR"/>
        </w:rPr>
      </w:pPr>
    </w:p>
    <w:p w:rsidR="00A040BE" w:rsidRDefault="00A040BE" w:rsidP="00A040BE">
      <w:pPr>
        <w:numPr>
          <w:ilvl w:val="0"/>
          <w:numId w:val="1"/>
        </w:numPr>
        <w:spacing w:after="0" w:line="240" w:lineRule="auto"/>
        <w:outlineLvl w:val="2"/>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CONCLUSÕES</w:t>
      </w:r>
    </w:p>
    <w:p w:rsidR="00A040BE" w:rsidRDefault="00A040BE" w:rsidP="00A040BE">
      <w:pPr>
        <w:spacing w:after="0" w:line="240" w:lineRule="auto"/>
        <w:ind w:firstLine="360"/>
        <w:jc w:val="both"/>
        <w:rPr>
          <w:rFonts w:ascii="Times New Roman" w:eastAsia="Times New Roman" w:hAnsi="Times New Roman" w:cs="Times New Roman"/>
          <w:sz w:val="24"/>
          <w:szCs w:val="24"/>
          <w:lang w:eastAsia="pt-BR"/>
        </w:rPr>
      </w:pPr>
    </w:p>
    <w:p w:rsidR="004C27FD" w:rsidRDefault="00A040BE" w:rsidP="00A040BE">
      <w:pPr>
        <w:spacing w:after="0" w:line="24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São estas as considerações deste Setor Técnico que se coloca à </w:t>
      </w:r>
      <w:proofErr w:type="gramStart"/>
      <w:r>
        <w:rPr>
          <w:rFonts w:ascii="Times New Roman" w:eastAsia="Times New Roman" w:hAnsi="Times New Roman" w:cs="Times New Roman"/>
          <w:sz w:val="24"/>
          <w:szCs w:val="24"/>
          <w:lang w:eastAsia="pt-BR"/>
        </w:rPr>
        <w:t>disposição para os esclarecimentos que se julgarem necessários</w:t>
      </w:r>
      <w:proofErr w:type="gramEnd"/>
      <w:r>
        <w:rPr>
          <w:rFonts w:ascii="Times New Roman" w:eastAsia="Times New Roman" w:hAnsi="Times New Roman" w:cs="Times New Roman"/>
          <w:sz w:val="24"/>
          <w:szCs w:val="24"/>
          <w:lang w:eastAsia="pt-BR"/>
        </w:rPr>
        <w:t>.</w:t>
      </w:r>
    </w:p>
    <w:p w:rsidR="00A040BE" w:rsidRDefault="00A040BE" w:rsidP="00A040BE">
      <w:pPr>
        <w:spacing w:after="0" w:line="240" w:lineRule="auto"/>
        <w:ind w:firstLine="360"/>
        <w:jc w:val="both"/>
        <w:rPr>
          <w:rFonts w:ascii="Times New Roman" w:eastAsia="Times New Roman" w:hAnsi="Times New Roman" w:cs="Times New Roman"/>
          <w:sz w:val="24"/>
          <w:szCs w:val="24"/>
          <w:lang w:eastAsia="pt-BR"/>
        </w:rPr>
      </w:pPr>
    </w:p>
    <w:p w:rsidR="009B2978" w:rsidRDefault="009B2978" w:rsidP="00A040BE">
      <w:pPr>
        <w:spacing w:after="0" w:line="240" w:lineRule="auto"/>
        <w:ind w:firstLine="2160"/>
        <w:jc w:val="right"/>
        <w:rPr>
          <w:rFonts w:ascii="Times New Roman" w:eastAsia="Times New Roman" w:hAnsi="Times New Roman" w:cs="Times New Roman"/>
          <w:sz w:val="24"/>
          <w:szCs w:val="24"/>
          <w:lang w:eastAsia="pt-BR"/>
        </w:rPr>
      </w:pPr>
    </w:p>
    <w:p w:rsidR="00A040BE" w:rsidRPr="00A040BE" w:rsidRDefault="00A040BE" w:rsidP="00A040BE">
      <w:pPr>
        <w:spacing w:after="0" w:line="240" w:lineRule="auto"/>
        <w:ind w:firstLine="2160"/>
        <w:jc w:val="right"/>
        <w:rPr>
          <w:rFonts w:ascii="Times New Roman" w:eastAsia="Times New Roman" w:hAnsi="Times New Roman" w:cs="Times New Roman"/>
          <w:sz w:val="24"/>
          <w:szCs w:val="24"/>
          <w:lang w:eastAsia="pt-BR"/>
        </w:rPr>
      </w:pPr>
      <w:r w:rsidRPr="00A040BE">
        <w:rPr>
          <w:rFonts w:ascii="Times New Roman" w:eastAsia="Times New Roman" w:hAnsi="Times New Roman" w:cs="Times New Roman"/>
          <w:sz w:val="24"/>
          <w:szCs w:val="24"/>
          <w:lang w:eastAsia="pt-BR"/>
        </w:rPr>
        <w:t>Belo Horizonte, 17 de Outubro de 2016.</w:t>
      </w:r>
    </w:p>
    <w:p w:rsidR="00A040BE" w:rsidRPr="00A040BE" w:rsidRDefault="00A040BE" w:rsidP="00A040BE">
      <w:pPr>
        <w:spacing w:after="0" w:line="240" w:lineRule="auto"/>
        <w:ind w:firstLine="2160"/>
        <w:jc w:val="right"/>
        <w:rPr>
          <w:rFonts w:ascii="Times New Roman" w:eastAsia="Times New Roman" w:hAnsi="Times New Roman" w:cs="Times New Roman"/>
          <w:sz w:val="24"/>
          <w:szCs w:val="24"/>
          <w:lang w:eastAsia="pt-BR"/>
        </w:rPr>
      </w:pPr>
    </w:p>
    <w:p w:rsidR="00A040BE" w:rsidRDefault="00A040BE" w:rsidP="00A040BE">
      <w:pPr>
        <w:spacing w:after="0" w:line="240" w:lineRule="auto"/>
        <w:jc w:val="center"/>
        <w:rPr>
          <w:rFonts w:ascii="Times New Roman" w:eastAsia="Times New Roman" w:hAnsi="Times New Roman" w:cs="Times New Roman"/>
          <w:sz w:val="24"/>
          <w:szCs w:val="24"/>
          <w:lang w:eastAsia="pt-BR"/>
        </w:rPr>
      </w:pPr>
    </w:p>
    <w:p w:rsidR="009B2978" w:rsidRPr="00A040BE" w:rsidRDefault="009B2978" w:rsidP="00A040BE">
      <w:pPr>
        <w:spacing w:after="0" w:line="240" w:lineRule="auto"/>
        <w:jc w:val="center"/>
        <w:rPr>
          <w:rFonts w:ascii="Times New Roman" w:eastAsia="Times New Roman" w:hAnsi="Times New Roman" w:cs="Times New Roman"/>
          <w:sz w:val="24"/>
          <w:szCs w:val="24"/>
          <w:lang w:eastAsia="pt-BR"/>
        </w:rPr>
      </w:pPr>
    </w:p>
    <w:tbl>
      <w:tblPr>
        <w:tblW w:w="9840" w:type="dxa"/>
        <w:tblInd w:w="-112" w:type="dxa"/>
        <w:tblLayout w:type="fixed"/>
        <w:tblCellMar>
          <w:left w:w="0" w:type="dxa"/>
          <w:right w:w="0" w:type="dxa"/>
        </w:tblCellMar>
        <w:tblLook w:val="0000" w:firstRow="0" w:lastRow="0" w:firstColumn="0" w:lastColumn="0" w:noHBand="0" w:noVBand="0"/>
      </w:tblPr>
      <w:tblGrid>
        <w:gridCol w:w="4655"/>
        <w:gridCol w:w="5185"/>
      </w:tblGrid>
      <w:tr w:rsidR="00A040BE" w:rsidRPr="00A040BE" w:rsidTr="00BF378A">
        <w:tc>
          <w:tcPr>
            <w:tcW w:w="4655" w:type="dxa"/>
          </w:tcPr>
          <w:p w:rsidR="00A040BE" w:rsidRPr="00A040BE" w:rsidRDefault="00A040BE" w:rsidP="00A040BE">
            <w:pPr>
              <w:spacing w:after="0" w:line="240" w:lineRule="auto"/>
              <w:jc w:val="center"/>
              <w:rPr>
                <w:rFonts w:ascii="Times New Roman" w:eastAsia="Times New Roman" w:hAnsi="Times New Roman" w:cs="Times New Roman"/>
                <w:sz w:val="24"/>
                <w:lang w:eastAsia="pt-BR"/>
              </w:rPr>
            </w:pPr>
            <w:proofErr w:type="spellStart"/>
            <w:r w:rsidRPr="00A040BE">
              <w:rPr>
                <w:rFonts w:ascii="Times New Roman" w:eastAsia="Times New Roman" w:hAnsi="Times New Roman" w:cs="Times New Roman"/>
                <w:sz w:val="24"/>
                <w:lang w:eastAsia="pt-BR"/>
              </w:rPr>
              <w:t>Neise</w:t>
            </w:r>
            <w:proofErr w:type="spellEnd"/>
            <w:r w:rsidRPr="00A040BE">
              <w:rPr>
                <w:rFonts w:ascii="Times New Roman" w:eastAsia="Times New Roman" w:hAnsi="Times New Roman" w:cs="Times New Roman"/>
                <w:sz w:val="24"/>
                <w:lang w:eastAsia="pt-BR"/>
              </w:rPr>
              <w:t xml:space="preserve"> Mendes Duarte</w:t>
            </w:r>
          </w:p>
          <w:p w:rsidR="00A040BE" w:rsidRPr="00A040BE" w:rsidRDefault="00A040BE" w:rsidP="00A040BE">
            <w:pPr>
              <w:spacing w:after="0" w:line="240" w:lineRule="auto"/>
              <w:jc w:val="center"/>
              <w:rPr>
                <w:rFonts w:ascii="Times New Roman" w:eastAsia="Times New Roman" w:hAnsi="Times New Roman" w:cs="Times New Roman"/>
                <w:sz w:val="24"/>
                <w:lang w:eastAsia="pt-BR"/>
              </w:rPr>
            </w:pPr>
            <w:r w:rsidRPr="00A040BE">
              <w:rPr>
                <w:rFonts w:ascii="Times New Roman" w:eastAsia="Times New Roman" w:hAnsi="Times New Roman" w:cs="Times New Roman"/>
                <w:sz w:val="24"/>
                <w:lang w:eastAsia="pt-BR"/>
              </w:rPr>
              <w:t>Analista do Ministério Público – MAMP 5011</w:t>
            </w:r>
          </w:p>
          <w:p w:rsidR="00A040BE" w:rsidRPr="00A040BE" w:rsidRDefault="00A040BE" w:rsidP="00A040BE">
            <w:pPr>
              <w:autoSpaceDE w:val="0"/>
              <w:spacing w:after="0" w:line="240" w:lineRule="auto"/>
              <w:ind w:firstLine="708"/>
              <w:jc w:val="center"/>
              <w:rPr>
                <w:rFonts w:ascii="Times New Roman" w:eastAsia="Times New Roman" w:hAnsi="Times New Roman" w:cs="Times New Roman"/>
                <w:sz w:val="24"/>
                <w:lang w:eastAsia="pt-BR"/>
              </w:rPr>
            </w:pPr>
            <w:r w:rsidRPr="00A040BE">
              <w:rPr>
                <w:rFonts w:ascii="Times New Roman" w:eastAsia="Times New Roman" w:hAnsi="Times New Roman" w:cs="Times New Roman"/>
                <w:sz w:val="24"/>
                <w:lang w:eastAsia="pt-BR"/>
              </w:rPr>
              <w:t>Historiadora</w:t>
            </w:r>
          </w:p>
        </w:tc>
        <w:tc>
          <w:tcPr>
            <w:tcW w:w="5185" w:type="dxa"/>
          </w:tcPr>
          <w:p w:rsidR="00A040BE" w:rsidRPr="00A040BE" w:rsidRDefault="00A040BE" w:rsidP="00A040BE">
            <w:pPr>
              <w:spacing w:after="0" w:line="240" w:lineRule="auto"/>
              <w:jc w:val="center"/>
              <w:rPr>
                <w:rFonts w:ascii="Times New Roman" w:eastAsia="Times New Roman" w:hAnsi="Times New Roman" w:cs="Times New Roman"/>
                <w:sz w:val="24"/>
                <w:lang w:eastAsia="pt-BR"/>
              </w:rPr>
            </w:pPr>
            <w:r w:rsidRPr="00A040BE">
              <w:rPr>
                <w:rFonts w:ascii="Times New Roman" w:eastAsia="Times New Roman" w:hAnsi="Times New Roman" w:cs="Times New Roman"/>
                <w:sz w:val="24"/>
                <w:lang w:eastAsia="pt-BR"/>
              </w:rPr>
              <w:t xml:space="preserve">Andréa </w:t>
            </w:r>
            <w:proofErr w:type="spellStart"/>
            <w:r w:rsidRPr="00A040BE">
              <w:rPr>
                <w:rFonts w:ascii="Times New Roman" w:eastAsia="Times New Roman" w:hAnsi="Times New Roman" w:cs="Times New Roman"/>
                <w:sz w:val="24"/>
                <w:lang w:eastAsia="pt-BR"/>
              </w:rPr>
              <w:t>Lanna</w:t>
            </w:r>
            <w:proofErr w:type="spellEnd"/>
            <w:r w:rsidRPr="00A040BE">
              <w:rPr>
                <w:rFonts w:ascii="Times New Roman" w:eastAsia="Times New Roman" w:hAnsi="Times New Roman" w:cs="Times New Roman"/>
                <w:sz w:val="24"/>
                <w:lang w:eastAsia="pt-BR"/>
              </w:rPr>
              <w:t xml:space="preserve"> Mendes Novais</w:t>
            </w:r>
          </w:p>
          <w:p w:rsidR="00A040BE" w:rsidRPr="00A040BE" w:rsidRDefault="00A040BE" w:rsidP="00A040BE">
            <w:pPr>
              <w:spacing w:after="0" w:line="240" w:lineRule="auto"/>
              <w:jc w:val="center"/>
              <w:rPr>
                <w:rFonts w:ascii="Times New Roman" w:eastAsia="Times New Roman" w:hAnsi="Times New Roman" w:cs="Times New Roman"/>
                <w:sz w:val="24"/>
                <w:lang w:eastAsia="pt-BR"/>
              </w:rPr>
            </w:pPr>
            <w:r w:rsidRPr="00A040BE">
              <w:rPr>
                <w:rFonts w:ascii="Times New Roman" w:eastAsia="Times New Roman" w:hAnsi="Times New Roman" w:cs="Times New Roman"/>
                <w:sz w:val="24"/>
                <w:lang w:eastAsia="pt-BR"/>
              </w:rPr>
              <w:t>Analista do Ministério Público – MAMP 3951</w:t>
            </w:r>
          </w:p>
          <w:p w:rsidR="00A040BE" w:rsidRPr="00A040BE" w:rsidRDefault="00A040BE" w:rsidP="00A040BE">
            <w:pPr>
              <w:spacing w:after="0" w:line="240" w:lineRule="auto"/>
              <w:jc w:val="center"/>
              <w:rPr>
                <w:rFonts w:ascii="Times New Roman" w:eastAsia="Times New Roman" w:hAnsi="Times New Roman" w:cs="Times New Roman"/>
                <w:sz w:val="24"/>
                <w:szCs w:val="24"/>
                <w:lang w:eastAsia="pt-BR"/>
              </w:rPr>
            </w:pPr>
            <w:r w:rsidRPr="00A040BE">
              <w:rPr>
                <w:rFonts w:ascii="Times New Roman" w:eastAsia="Times New Roman" w:hAnsi="Times New Roman" w:cs="Times New Roman"/>
                <w:sz w:val="24"/>
                <w:lang w:eastAsia="pt-BR"/>
              </w:rPr>
              <w:t xml:space="preserve">Arquiteta Urbanista – CAU A 27713-4 </w:t>
            </w:r>
          </w:p>
        </w:tc>
      </w:tr>
    </w:tbl>
    <w:p w:rsidR="00A040BE" w:rsidRPr="004C27FD" w:rsidRDefault="00A040BE" w:rsidP="00A040BE">
      <w:pPr>
        <w:spacing w:after="0" w:line="240" w:lineRule="auto"/>
        <w:ind w:firstLine="360"/>
        <w:jc w:val="both"/>
        <w:rPr>
          <w:rFonts w:ascii="Times New Roman" w:eastAsia="Times New Roman" w:hAnsi="Times New Roman" w:cs="Times New Roman"/>
          <w:sz w:val="24"/>
          <w:szCs w:val="24"/>
          <w:lang w:eastAsia="pt-BR"/>
        </w:rPr>
      </w:pPr>
    </w:p>
    <w:sectPr w:rsidR="00A040BE" w:rsidRPr="004C27FD" w:rsidSect="00626C2C">
      <w:headerReference w:type="default" r:id="rId14"/>
      <w:footerReference w:type="default" r:id="rId15"/>
      <w:pgSz w:w="11906" w:h="16838"/>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01D" w:rsidRDefault="007C201D" w:rsidP="00AA5845">
      <w:pPr>
        <w:spacing w:after="0" w:line="240" w:lineRule="auto"/>
      </w:pPr>
      <w:r>
        <w:separator/>
      </w:r>
    </w:p>
  </w:endnote>
  <w:endnote w:type="continuationSeparator" w:id="0">
    <w:p w:rsidR="007C201D" w:rsidRDefault="007C201D" w:rsidP="00AA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45" w:rsidRDefault="00AA5845">
    <w:pPr>
      <w:pStyle w:val="Rodap"/>
    </w:pPr>
  </w:p>
  <w:tbl>
    <w:tblPr>
      <w:tblStyle w:val="Tabelacomgrade"/>
      <w:tblW w:w="9498" w:type="dxa"/>
      <w:tblInd w:w="-318" w:type="dxa"/>
      <w:tblBorders>
        <w:insideH w:val="none" w:sz="0" w:space="0" w:color="auto"/>
        <w:insideV w:val="none" w:sz="0" w:space="0" w:color="auto"/>
      </w:tblBorders>
      <w:tblLook w:val="04A0" w:firstRow="1" w:lastRow="0" w:firstColumn="1" w:lastColumn="0" w:noHBand="0" w:noVBand="1"/>
    </w:tblPr>
    <w:tblGrid>
      <w:gridCol w:w="2691"/>
      <w:gridCol w:w="6807"/>
    </w:tblGrid>
    <w:tr w:rsidR="00AA5845" w:rsidTr="00AA5845">
      <w:tc>
        <w:tcPr>
          <w:tcW w:w="2269" w:type="dxa"/>
        </w:tcPr>
        <w:p w:rsidR="00AA5845" w:rsidRDefault="00AA5845">
          <w:pPr>
            <w:pStyle w:val="Rodap"/>
          </w:pPr>
          <w:r>
            <w:rPr>
              <w:noProof/>
              <w:lang w:eastAsia="pt-BR"/>
            </w:rPr>
            <w:drawing>
              <wp:inline distT="0" distB="0" distL="0" distR="0" wp14:anchorId="64458336" wp14:editId="59C7ACDF">
                <wp:extent cx="1571625" cy="606397"/>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6397"/>
                        </a:xfrm>
                        <a:prstGeom prst="rect">
                          <a:avLst/>
                        </a:prstGeom>
                        <a:noFill/>
                        <a:ln>
                          <a:noFill/>
                        </a:ln>
                      </pic:spPr>
                    </pic:pic>
                  </a:graphicData>
                </a:graphic>
              </wp:inline>
            </w:drawing>
          </w:r>
        </w:p>
      </w:tc>
      <w:tc>
        <w:tcPr>
          <w:tcW w:w="7229" w:type="dxa"/>
        </w:tcPr>
        <w:p w:rsidR="00AA5845" w:rsidRDefault="00AA5845" w:rsidP="00AA5845">
          <w:pPr>
            <w:pStyle w:val="Rodap"/>
            <w:jc w:val="center"/>
            <w:rPr>
              <w:rFonts w:ascii="Times New Roman" w:hAnsi="Times New Roman" w:cs="Times New Roman"/>
              <w:color w:val="000000"/>
              <w:sz w:val="21"/>
              <w:szCs w:val="21"/>
            </w:rPr>
          </w:pPr>
          <w:r w:rsidRPr="00AA5845">
            <w:rPr>
              <w:rFonts w:ascii="Times New Roman" w:hAnsi="Times New Roman" w:cs="Times New Roman"/>
              <w:color w:val="000000"/>
              <w:sz w:val="21"/>
              <w:szCs w:val="21"/>
            </w:rPr>
            <w:t xml:space="preserve">Rua Timbiras, </w:t>
          </w:r>
          <w:proofErr w:type="spellStart"/>
          <w:r w:rsidRPr="00AA5845">
            <w:rPr>
              <w:rFonts w:ascii="Times New Roman" w:hAnsi="Times New Roman" w:cs="Times New Roman"/>
              <w:color w:val="000000"/>
              <w:sz w:val="21"/>
              <w:szCs w:val="21"/>
            </w:rPr>
            <w:t>n.°</w:t>
          </w:r>
          <w:proofErr w:type="spellEnd"/>
          <w:r w:rsidRPr="00AA5845">
            <w:rPr>
              <w:rFonts w:ascii="Times New Roman" w:hAnsi="Times New Roman" w:cs="Times New Roman"/>
              <w:color w:val="000000"/>
              <w:sz w:val="21"/>
              <w:szCs w:val="21"/>
            </w:rPr>
            <w:t xml:space="preserve"> 2941 - Barro Preto - Belo Horizonte–MG - CEP 30140-</w:t>
          </w:r>
          <w:proofErr w:type="gramStart"/>
          <w:r w:rsidRPr="00AA5845">
            <w:rPr>
              <w:rFonts w:ascii="Times New Roman" w:hAnsi="Times New Roman" w:cs="Times New Roman"/>
              <w:color w:val="000000"/>
              <w:sz w:val="21"/>
              <w:szCs w:val="21"/>
            </w:rPr>
            <w:t>062</w:t>
          </w:r>
          <w:proofErr w:type="gramEnd"/>
        </w:p>
        <w:p w:rsidR="00AA5845" w:rsidRDefault="00AA5845" w:rsidP="00AA5845">
          <w:pPr>
            <w:pStyle w:val="Rodap"/>
            <w:jc w:val="center"/>
            <w:rPr>
              <w:rFonts w:ascii="Times New Roman" w:hAnsi="Times New Roman" w:cs="Times New Roman"/>
              <w:color w:val="000000"/>
              <w:sz w:val="21"/>
              <w:szCs w:val="21"/>
            </w:rPr>
          </w:pPr>
        </w:p>
        <w:p w:rsidR="00AA5845" w:rsidRPr="00AA5845" w:rsidRDefault="00AA5845" w:rsidP="00AA5845">
          <w:pPr>
            <w:pStyle w:val="Rodap"/>
            <w:jc w:val="center"/>
            <w:rPr>
              <w:rFonts w:ascii="Times New Roman" w:hAnsi="Times New Roman" w:cs="Times New Roman"/>
              <w:sz w:val="21"/>
              <w:szCs w:val="21"/>
            </w:rPr>
          </w:pPr>
          <w:r w:rsidRPr="00AA5845">
            <w:rPr>
              <w:rFonts w:ascii="Times New Roman" w:hAnsi="Times New Roman" w:cs="Times New Roman"/>
              <w:color w:val="000000"/>
              <w:sz w:val="21"/>
              <w:szCs w:val="21"/>
            </w:rPr>
            <w:t>Telefax (</w:t>
          </w:r>
          <w:r w:rsidRPr="00AA5845">
            <w:rPr>
              <w:rFonts w:ascii="Times New Roman" w:hAnsi="Times New Roman" w:cs="Times New Roman"/>
              <w:sz w:val="21"/>
              <w:szCs w:val="21"/>
            </w:rPr>
            <w:t>31) 3250-4620 –</w:t>
          </w:r>
          <w:r w:rsidRPr="00AA5845">
            <w:rPr>
              <w:rFonts w:ascii="Times New Roman" w:hAnsi="Times New Roman" w:cs="Times New Roman"/>
              <w:color w:val="000000"/>
              <w:sz w:val="21"/>
              <w:szCs w:val="21"/>
            </w:rPr>
            <w:t xml:space="preserve"> E-mail: cppc@mpmg.</w:t>
          </w:r>
          <w:r>
            <w:rPr>
              <w:rFonts w:ascii="Times New Roman" w:hAnsi="Times New Roman" w:cs="Times New Roman"/>
              <w:color w:val="000000"/>
              <w:sz w:val="21"/>
              <w:szCs w:val="21"/>
            </w:rPr>
            <w:t>mp</w:t>
          </w:r>
          <w:r w:rsidRPr="00AA5845">
            <w:rPr>
              <w:rFonts w:ascii="Times New Roman" w:hAnsi="Times New Roman" w:cs="Times New Roman"/>
              <w:color w:val="000000"/>
              <w:sz w:val="21"/>
              <w:szCs w:val="21"/>
            </w:rPr>
            <w:t>.br</w:t>
          </w:r>
        </w:p>
      </w:tc>
    </w:tr>
  </w:tbl>
  <w:p w:rsidR="00AA5845" w:rsidRDefault="00AA584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01D" w:rsidRDefault="007C201D" w:rsidP="00AA5845">
      <w:pPr>
        <w:spacing w:after="0" w:line="240" w:lineRule="auto"/>
      </w:pPr>
      <w:r>
        <w:separator/>
      </w:r>
    </w:p>
  </w:footnote>
  <w:footnote w:type="continuationSeparator" w:id="0">
    <w:p w:rsidR="007C201D" w:rsidRDefault="007C201D" w:rsidP="00AA5845">
      <w:pPr>
        <w:spacing w:after="0" w:line="240" w:lineRule="auto"/>
      </w:pPr>
      <w:r>
        <w:continuationSeparator/>
      </w:r>
    </w:p>
  </w:footnote>
  <w:footnote w:id="1">
    <w:p w:rsidR="00565C8F" w:rsidRDefault="00565C8F" w:rsidP="00565C8F">
      <w:pPr>
        <w:pStyle w:val="Textodenotaderodap"/>
        <w:jc w:val="both"/>
      </w:pPr>
      <w:r>
        <w:rPr>
          <w:rStyle w:val="Refdenotaderodap"/>
        </w:rPr>
        <w:footnoteRef/>
      </w:r>
      <w:r>
        <w:t xml:space="preserve"> Informação presente na Petição Inicial, constante nos autos. Havia a informação de que as peças se encontravam em uma loja de antiguidades supostamente localizada na entrada da cidade de Tiradentes. Em diligência realizada as peças foram localizadas no Armazém </w:t>
      </w:r>
      <w:proofErr w:type="spellStart"/>
      <w:proofErr w:type="gramStart"/>
      <w:r>
        <w:t>du</w:t>
      </w:r>
      <w:proofErr w:type="spellEnd"/>
      <w:proofErr w:type="gramEnd"/>
      <w:r>
        <w:t xml:space="preserve"> Arquiteto, localizado na Avenida Israel Pinheiro nº 37, e identificadas pelo arquiteto Luiz Alberto do Prado Passaglia como pertencentes ao Palacete </w:t>
      </w:r>
      <w:proofErr w:type="spellStart"/>
      <w:r>
        <w:t>Fellet</w:t>
      </w:r>
      <w:proofErr w:type="spellEnd"/>
      <w:r>
        <w:t xml:space="preserve">. As peças foram devidamente fotografadas e descritas, tendo sido depositadas na própria loja, em poder do gerente Luiz Cláudio </w:t>
      </w:r>
      <w:proofErr w:type="spellStart"/>
      <w:r>
        <w:t>Sant’ana</w:t>
      </w:r>
      <w:proofErr w:type="spellEnd"/>
      <w:r>
        <w:t xml:space="preserve"> Mendes, que aceitou o cargo de Fiel Depositário das mesmas. Não há outras informações sobre o destino das peças.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45" w:rsidRDefault="00AA5845" w:rsidP="00AA5845">
    <w:pPr>
      <w:pStyle w:val="Cabealho"/>
      <w:jc w:val="center"/>
      <w:rPr>
        <w:b/>
        <w:bCs/>
      </w:rPr>
    </w:pPr>
    <w:r w:rsidRPr="00AA5845">
      <w:rPr>
        <w:noProof/>
        <w:lang w:eastAsia="pt-BR"/>
      </w:rPr>
      <w:drawing>
        <wp:inline distT="0" distB="0" distL="0" distR="0" wp14:anchorId="667CEBB3" wp14:editId="616B165B">
          <wp:extent cx="2114550" cy="85992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114286" cy="859821"/>
                  </a:xfrm>
                  <a:prstGeom prst="rect">
                    <a:avLst/>
                  </a:prstGeom>
                </pic:spPr>
              </pic:pic>
            </a:graphicData>
          </a:graphic>
        </wp:inline>
      </w:drawing>
    </w:r>
  </w:p>
  <w:p w:rsidR="00AA5845" w:rsidRDefault="00AA5845" w:rsidP="00AA5845">
    <w:pPr>
      <w:pStyle w:val="Cabealho"/>
      <w:jc w:val="center"/>
    </w:pPr>
    <w:r>
      <w:rPr>
        <w:b/>
        <w:bCs/>
      </w:rPr>
      <w:t>Promotoria Estadual de Defesa do Patrimônio Cultural e Turístico</w:t>
    </w:r>
  </w:p>
  <w:p w:rsidR="00AA5845" w:rsidRDefault="00AA584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7F64"/>
    <w:multiLevelType w:val="multilevel"/>
    <w:tmpl w:val="04E2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390072"/>
    <w:multiLevelType w:val="multilevel"/>
    <w:tmpl w:val="04E2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77207B"/>
    <w:multiLevelType w:val="hybridMultilevel"/>
    <w:tmpl w:val="7708F294"/>
    <w:lvl w:ilvl="0" w:tplc="79E61010">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C3F1534"/>
    <w:multiLevelType w:val="hybridMultilevel"/>
    <w:tmpl w:val="61FA153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845"/>
    <w:rsid w:val="002A6088"/>
    <w:rsid w:val="004C27FD"/>
    <w:rsid w:val="00565C8F"/>
    <w:rsid w:val="00611FF1"/>
    <w:rsid w:val="00626C2C"/>
    <w:rsid w:val="00642291"/>
    <w:rsid w:val="007936CE"/>
    <w:rsid w:val="007C201D"/>
    <w:rsid w:val="00897481"/>
    <w:rsid w:val="008C5BA2"/>
    <w:rsid w:val="00936167"/>
    <w:rsid w:val="009B2978"/>
    <w:rsid w:val="00A040BE"/>
    <w:rsid w:val="00A12BFC"/>
    <w:rsid w:val="00A56C6C"/>
    <w:rsid w:val="00AA5845"/>
    <w:rsid w:val="00B20965"/>
    <w:rsid w:val="00BE1DC4"/>
    <w:rsid w:val="00E501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A5845"/>
    <w:pPr>
      <w:ind w:left="720"/>
      <w:contextualSpacing/>
    </w:pPr>
  </w:style>
  <w:style w:type="paragraph" w:styleId="Cabealho">
    <w:name w:val="header"/>
    <w:basedOn w:val="Normal"/>
    <w:link w:val="CabealhoChar"/>
    <w:uiPriority w:val="99"/>
    <w:unhideWhenUsed/>
    <w:rsid w:val="00AA58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A5845"/>
  </w:style>
  <w:style w:type="paragraph" w:styleId="Rodap">
    <w:name w:val="footer"/>
    <w:basedOn w:val="Normal"/>
    <w:link w:val="RodapChar"/>
    <w:uiPriority w:val="99"/>
    <w:unhideWhenUsed/>
    <w:rsid w:val="00AA5845"/>
    <w:pPr>
      <w:tabs>
        <w:tab w:val="center" w:pos="4252"/>
        <w:tab w:val="right" w:pos="8504"/>
      </w:tabs>
      <w:spacing w:after="0" w:line="240" w:lineRule="auto"/>
    </w:pPr>
  </w:style>
  <w:style w:type="character" w:customStyle="1" w:styleId="RodapChar">
    <w:name w:val="Rodapé Char"/>
    <w:basedOn w:val="Fontepargpadro"/>
    <w:link w:val="Rodap"/>
    <w:uiPriority w:val="99"/>
    <w:rsid w:val="00AA5845"/>
  </w:style>
  <w:style w:type="paragraph" w:styleId="Textodebalo">
    <w:name w:val="Balloon Text"/>
    <w:basedOn w:val="Normal"/>
    <w:link w:val="TextodebaloChar"/>
    <w:uiPriority w:val="99"/>
    <w:semiHidden/>
    <w:unhideWhenUsed/>
    <w:rsid w:val="00AA58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5845"/>
    <w:rPr>
      <w:rFonts w:ascii="Tahoma" w:hAnsi="Tahoma" w:cs="Tahoma"/>
      <w:sz w:val="16"/>
      <w:szCs w:val="16"/>
    </w:rPr>
  </w:style>
  <w:style w:type="paragraph" w:styleId="NormalWeb">
    <w:name w:val="Normal (Web)"/>
    <w:basedOn w:val="Normal"/>
    <w:uiPriority w:val="99"/>
    <w:unhideWhenUsed/>
    <w:rsid w:val="00AA5845"/>
    <w:pPr>
      <w:spacing w:before="100" w:beforeAutospacing="1" w:after="119"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AA5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aliases w:val="Texto de nota de rodapé1"/>
    <w:basedOn w:val="Normal"/>
    <w:link w:val="TextodenotaderodapChar"/>
    <w:semiHidden/>
    <w:rsid w:val="00565C8F"/>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nota de rodapé1 Char"/>
    <w:basedOn w:val="Fontepargpadro"/>
    <w:link w:val="Textodenotaderodap"/>
    <w:semiHidden/>
    <w:rsid w:val="00565C8F"/>
    <w:rPr>
      <w:rFonts w:ascii="Times New Roman" w:eastAsia="Times New Roman" w:hAnsi="Times New Roman" w:cs="Times New Roman"/>
      <w:sz w:val="20"/>
      <w:szCs w:val="20"/>
      <w:lang w:eastAsia="pt-BR"/>
    </w:rPr>
  </w:style>
  <w:style w:type="character" w:styleId="Refdenotaderodap">
    <w:name w:val="footnote reference"/>
    <w:aliases w:val="Ref. de nota de rodapé1"/>
    <w:basedOn w:val="Fontepargpadro"/>
    <w:semiHidden/>
    <w:rsid w:val="00565C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A5845"/>
    <w:pPr>
      <w:ind w:left="720"/>
      <w:contextualSpacing/>
    </w:pPr>
  </w:style>
  <w:style w:type="paragraph" w:styleId="Cabealho">
    <w:name w:val="header"/>
    <w:basedOn w:val="Normal"/>
    <w:link w:val="CabealhoChar"/>
    <w:uiPriority w:val="99"/>
    <w:unhideWhenUsed/>
    <w:rsid w:val="00AA58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A5845"/>
  </w:style>
  <w:style w:type="paragraph" w:styleId="Rodap">
    <w:name w:val="footer"/>
    <w:basedOn w:val="Normal"/>
    <w:link w:val="RodapChar"/>
    <w:uiPriority w:val="99"/>
    <w:unhideWhenUsed/>
    <w:rsid w:val="00AA5845"/>
    <w:pPr>
      <w:tabs>
        <w:tab w:val="center" w:pos="4252"/>
        <w:tab w:val="right" w:pos="8504"/>
      </w:tabs>
      <w:spacing w:after="0" w:line="240" w:lineRule="auto"/>
    </w:pPr>
  </w:style>
  <w:style w:type="character" w:customStyle="1" w:styleId="RodapChar">
    <w:name w:val="Rodapé Char"/>
    <w:basedOn w:val="Fontepargpadro"/>
    <w:link w:val="Rodap"/>
    <w:uiPriority w:val="99"/>
    <w:rsid w:val="00AA5845"/>
  </w:style>
  <w:style w:type="paragraph" w:styleId="Textodebalo">
    <w:name w:val="Balloon Text"/>
    <w:basedOn w:val="Normal"/>
    <w:link w:val="TextodebaloChar"/>
    <w:uiPriority w:val="99"/>
    <w:semiHidden/>
    <w:unhideWhenUsed/>
    <w:rsid w:val="00AA58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5845"/>
    <w:rPr>
      <w:rFonts w:ascii="Tahoma" w:hAnsi="Tahoma" w:cs="Tahoma"/>
      <w:sz w:val="16"/>
      <w:szCs w:val="16"/>
    </w:rPr>
  </w:style>
  <w:style w:type="paragraph" w:styleId="NormalWeb">
    <w:name w:val="Normal (Web)"/>
    <w:basedOn w:val="Normal"/>
    <w:uiPriority w:val="99"/>
    <w:unhideWhenUsed/>
    <w:rsid w:val="00AA5845"/>
    <w:pPr>
      <w:spacing w:before="100" w:beforeAutospacing="1" w:after="119"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AA5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aliases w:val="Texto de nota de rodapé1"/>
    <w:basedOn w:val="Normal"/>
    <w:link w:val="TextodenotaderodapChar"/>
    <w:semiHidden/>
    <w:rsid w:val="00565C8F"/>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nota de rodapé1 Char"/>
    <w:basedOn w:val="Fontepargpadro"/>
    <w:link w:val="Textodenotaderodap"/>
    <w:semiHidden/>
    <w:rsid w:val="00565C8F"/>
    <w:rPr>
      <w:rFonts w:ascii="Times New Roman" w:eastAsia="Times New Roman" w:hAnsi="Times New Roman" w:cs="Times New Roman"/>
      <w:sz w:val="20"/>
      <w:szCs w:val="20"/>
      <w:lang w:eastAsia="pt-BR"/>
    </w:rPr>
  </w:style>
  <w:style w:type="character" w:styleId="Refdenotaderodap">
    <w:name w:val="footnote reference"/>
    <w:aliases w:val="Ref. de nota de rodapé1"/>
    <w:basedOn w:val="Fontepargpadro"/>
    <w:semiHidden/>
    <w:rsid w:val="00565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9842">
      <w:bodyDiv w:val="1"/>
      <w:marLeft w:val="0"/>
      <w:marRight w:val="0"/>
      <w:marTop w:val="0"/>
      <w:marBottom w:val="0"/>
      <w:divBdr>
        <w:top w:val="none" w:sz="0" w:space="0" w:color="auto"/>
        <w:left w:val="none" w:sz="0" w:space="0" w:color="auto"/>
        <w:bottom w:val="none" w:sz="0" w:space="0" w:color="auto"/>
        <w:right w:val="none" w:sz="0" w:space="0" w:color="auto"/>
      </w:divBdr>
    </w:div>
    <w:div w:id="467284753">
      <w:bodyDiv w:val="1"/>
      <w:marLeft w:val="0"/>
      <w:marRight w:val="0"/>
      <w:marTop w:val="0"/>
      <w:marBottom w:val="0"/>
      <w:divBdr>
        <w:top w:val="none" w:sz="0" w:space="0" w:color="auto"/>
        <w:left w:val="none" w:sz="0" w:space="0" w:color="auto"/>
        <w:bottom w:val="none" w:sz="0" w:space="0" w:color="auto"/>
        <w:right w:val="none" w:sz="0" w:space="0" w:color="auto"/>
      </w:divBdr>
    </w:div>
    <w:div w:id="131695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E71D-8BED-4199-9E51-63BADDA7A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1465</Words>
  <Characters>7913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Ministério Público do Estado de Minas Gerais</Company>
  <LinksUpToDate>false</LinksUpToDate>
  <CharactersWithSpaces>9360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Lanna Mendes Novais</dc:creator>
  <cp:lastModifiedBy>Andrea Lanna Mendes Novais</cp:lastModifiedBy>
  <cp:revision>10</cp:revision>
  <cp:lastPrinted>2016-10-24T21:26:00Z</cp:lastPrinted>
  <dcterms:created xsi:type="dcterms:W3CDTF">2016-10-17T16:04:00Z</dcterms:created>
  <dcterms:modified xsi:type="dcterms:W3CDTF">2016-10-24T21:29:00Z</dcterms:modified>
</cp:coreProperties>
</file>