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NOTA TÉCNICA nº </w:t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40 </w:t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/2018</w:t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jc w:val="center"/>
        <w:outlineLvl w:val="2"/>
        <w:rPr>
          <w:rFonts w:ascii="Garamond" w:hAnsi="Garamond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jc w:val="center"/>
        <w:outlineLvl w:val="2"/>
        <w:rPr/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Complementação Notas Técnicas n ºs 47/2017 e 72/2017</w:t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jc w:val="center"/>
        <w:outlineLvl w:val="2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Ref: PAAF 0024.16.015107-2</w:t>
      </w:r>
    </w:p>
    <w:p>
      <w:pPr>
        <w:pStyle w:val="Normal"/>
        <w:spacing w:before="0" w:after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Objeto</w:t>
      </w:r>
      <w:r>
        <w:rPr>
          <w:rFonts w:eastAsia="Times New Roman" w:cs="Times New Roman" w:ascii="Garamond" w:hAnsi="Garamond"/>
          <w:sz w:val="24"/>
          <w:szCs w:val="24"/>
          <w:lang w:eastAsia="pt-BR"/>
        </w:rPr>
        <w:t>: Grande Hotel Muriahe.</w:t>
      </w:r>
    </w:p>
    <w:p>
      <w:pPr>
        <w:pStyle w:val="Normal"/>
        <w:spacing w:before="0" w:after="0"/>
        <w:ind w:left="360" w:hanging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Endereço</w:t>
      </w:r>
      <w:r>
        <w:rPr>
          <w:rFonts w:eastAsia="Times New Roman" w:cs="Times New Roman" w:ascii="Garamond" w:hAnsi="Garamond"/>
          <w:sz w:val="24"/>
          <w:szCs w:val="24"/>
          <w:lang w:eastAsia="pt-BR"/>
        </w:rPr>
        <w:t xml:space="preserve">: 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>Rua João Pinheiro nº 106, 164, centro.</w:t>
      </w:r>
    </w:p>
    <w:p>
      <w:pPr>
        <w:pStyle w:val="Normal"/>
        <w:spacing w:before="0" w:after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Garamond" w:hAnsi="Garamond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Município: </w:t>
      </w:r>
      <w:r>
        <w:rPr>
          <w:rFonts w:eastAsia="Times New Roman" w:cs="Times New Roman" w:ascii="Garamond" w:hAnsi="Garamond"/>
          <w:sz w:val="24"/>
          <w:szCs w:val="24"/>
          <w:lang w:eastAsia="pt-BR"/>
        </w:rPr>
        <w:t>Muriaé/MG</w:t>
      </w:r>
    </w:p>
    <w:p>
      <w:pPr>
        <w:pStyle w:val="Normal"/>
        <w:spacing w:lineRule="auto" w:line="240" w:before="0" w:after="0"/>
        <w:ind w:left="708" w:hanging="0"/>
        <w:rPr>
          <w:rFonts w:ascii="Garamond" w:hAnsi="Garamond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Garamond" w:hAnsi="Garamond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Proteção: 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>Tombamento Municipal através do Decreto 1559/97.</w:t>
      </w:r>
    </w:p>
    <w:p>
      <w:pPr>
        <w:pStyle w:val="Normal"/>
        <w:spacing w:lineRule="auto" w:line="240" w:before="0" w:after="0"/>
        <w:ind w:left="708" w:hanging="0"/>
        <w:rPr>
          <w:rFonts w:ascii="Garamond" w:hAnsi="Garamond" w:eastAsia="Times New Roman" w:cs="Times New Roman"/>
          <w:b/>
          <w:b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Análise Técnica:</w:t>
      </w:r>
    </w:p>
    <w:p>
      <w:pPr>
        <w:pStyle w:val="Normal"/>
        <w:spacing w:before="0" w:after="0"/>
        <w:ind w:firstLine="360"/>
        <w:jc w:val="both"/>
        <w:rPr>
          <w:rFonts w:ascii="Garamond" w:hAnsi="Garamond" w:eastAsia="Times New Roman" w:cs="Times New Roman"/>
          <w:bCs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</w:r>
    </w:p>
    <w:p>
      <w:pPr>
        <w:pStyle w:val="Normal"/>
        <w:spacing w:before="0" w:after="0"/>
        <w:ind w:firstLine="708"/>
        <w:jc w:val="both"/>
        <w:rPr/>
      </w:pP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 xml:space="preserve">Em 30/07/2017 este Setor Técnico elaborou a Nota Técnica nº 47/2017 que concluiu que o empreendimento construído nos fundos do Grande Hotel Muriahe, bem tombado pelo município, foi aprovado pelo município contrariando a legislação ambiental, cultural e urbanística municipal, causando enorme impacto na ambiência do Grande Hotel de Muriaé, no Conjunto Urbanístico da Praça João Pinheiro e no Caminho Cultural, devido a sua altimetria e volumetria que desconsidera e extrapola, em muito, a situação 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>preexistente.</w:t>
      </w:r>
    </w:p>
    <w:p>
      <w:pPr>
        <w:pStyle w:val="Normal"/>
        <w:spacing w:before="0" w:after="0"/>
        <w:ind w:firstLine="708"/>
        <w:jc w:val="both"/>
        <w:rPr>
          <w:rFonts w:ascii="Garamond" w:hAnsi="Garamond" w:eastAsia="Times New Roman" w:cs="Times New Roman"/>
          <w:lang w:eastAsia="pt-BR"/>
        </w:rPr>
      </w:pPr>
      <w:r>
        <w:rPr>
          <w:rFonts w:eastAsia="Times New Roman" w:cs="Times New Roman" w:ascii="Garamond" w:hAnsi="Garamond"/>
          <w:lang w:eastAsia="pt-BR"/>
        </w:rPr>
      </w:r>
    </w:p>
    <w:p>
      <w:pPr>
        <w:pStyle w:val="Normal"/>
        <w:spacing w:lineRule="auto" w:line="276"/>
        <w:ind w:left="0" w:right="0" w:firstLine="708"/>
        <w:jc w:val="both"/>
        <w:rPr/>
      </w:pPr>
      <w:r>
        <w:rPr>
          <w:rFonts w:cs="Garamond" w:ascii="Garamond" w:hAnsi="Garamond"/>
          <w:bCs/>
          <w:sz w:val="24"/>
          <w:szCs w:val="24"/>
        </w:rPr>
        <w:t xml:space="preserve">Abaixo, um quadro resumindo como poderia ser a obra, nos termos da legislação urbanística e do dossiê de tombamento; como foi aprovado pelo Conselho Municipal de Patrimônio Cultural; e, por fim, como foi aprovado pelo Município, sem concordância </w:t>
      </w:r>
      <w:r>
        <w:rPr>
          <w:rFonts w:cs="Garamond" w:ascii="Garamond" w:hAnsi="Garamond"/>
          <w:bCs/>
          <w:sz w:val="24"/>
          <w:szCs w:val="24"/>
        </w:rPr>
        <w:t xml:space="preserve">total </w:t>
      </w:r>
      <w:r>
        <w:rPr>
          <w:rFonts w:cs="Garamond" w:ascii="Garamond" w:hAnsi="Garamond"/>
          <w:bCs/>
          <w:sz w:val="24"/>
          <w:szCs w:val="24"/>
        </w:rPr>
        <w:t xml:space="preserve">do Conselho de Proteção ao Patrimônio Cultural: </w:t>
      </w:r>
    </w:p>
    <w:tbl>
      <w:tblPr>
        <w:tblW w:w="8895" w:type="dxa"/>
        <w:jc w:val="left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1245"/>
        <w:gridCol w:w="2220"/>
        <w:gridCol w:w="1410"/>
        <w:gridCol w:w="2205"/>
        <w:gridCol w:w="1815"/>
      </w:tblGrid>
      <w:tr>
        <w:trPr>
          <w:trHeight w:val="450" w:hRule="atLeast"/>
        </w:trPr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napToGrid w:val="false"/>
              <w:spacing w:before="0" w:after="0"/>
              <w:jc w:val="left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Legislação existente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Dossiê de tombamento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Aprovado pelo Conselho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Aprovado pela Prefeitura</w:t>
            </w:r>
          </w:p>
        </w:tc>
      </w:tr>
      <w:tr>
        <w:trPr/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nº de níveis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Lei Municipal 1231/87, art. 21, incisos XIII e XVI: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- </w:t>
            </w: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4 pavimentos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 em lotes lindeiros a via pública com menos de 9m de largura; </w:t>
            </w:r>
            <w:r>
              <w:rPr>
                <w:rFonts w:eastAsia="Calibri" w:cs="Garamond" w:ascii="Garamond" w:hAnsi="Garamond"/>
                <w:sz w:val="22"/>
                <w:szCs w:val="22"/>
                <w:u w:val="single"/>
              </w:rPr>
              <w:t>ou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eastAsia="Calibri" w:cs="Garamond"/>
                <w:u w:val="single"/>
              </w:rPr>
            </w:pPr>
            <w:r>
              <w:rPr>
                <w:rFonts w:eastAsia="Calibri" w:cs="Garamond"/>
                <w:u w:val="single"/>
              </w:rPr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- 8 pavimentos + garagem, se considerada entrada secundária pela Praça);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Plano Diretor e Lei Municipal nº3782/2009: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Altimetria predominante, aproximadamente</w:t>
            </w: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 xml:space="preserve"> 9m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>.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Preservação do gabarito (aproximadamente 12m)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até 10m a partir do alinhamento da fachada frontal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11 pavimentos residenciais e 4 níveis de garagem (1 no pilotis e 3 no subsolo), sem considerar a cobertura e a caixa d'água como pavimentos.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  <w:highlight w:val="darkYellow"/>
              </w:rPr>
            </w:pPr>
            <w:r>
              <w:rPr>
                <w:rFonts w:eastAsia="Calibri" w:cs="Garamond" w:ascii="Garamond" w:hAnsi="Garamond"/>
                <w:sz w:val="22"/>
                <w:szCs w:val="22"/>
                <w:highlight w:val="darkYellow"/>
              </w:rPr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Total = 15 pavimentos ou 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49,68 metros de altura.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  <w:highlight w:val="darkYellow"/>
              </w:rPr>
            </w:pPr>
            <w:r>
              <w:rPr>
                <w:rFonts w:eastAsia="Calibri" w:cs="Garamond" w:ascii="Garamond" w:hAnsi="Garamond"/>
                <w:sz w:val="22"/>
                <w:szCs w:val="22"/>
                <w:highlight w:val="darkYellow"/>
              </w:rPr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/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11 pavimentos residenciais, 5 níveis de garagem , circulação, área privativa construtora LGA (comercial) e portaria</w:t>
            </w: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 xml:space="preserve"> no acesso secundário voltado para a praça)</w:t>
            </w: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.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19 níveis ou 64,26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 metros de altura.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</w:r>
          </w:p>
        </w:tc>
      </w:tr>
      <w:tr>
        <w:trPr/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Área total edificada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-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22.813,00m²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25.647,00m²</w:t>
            </w:r>
          </w:p>
        </w:tc>
      </w:tr>
      <w:tr>
        <w:trPr/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Passarela entre condomínio e grande hotel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Inexistente no bem tombado 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 xml:space="preserve">Não submetida ao Conselho. 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>Havia recomendação de que não houvesse  obstrução a iluminação natural nas janelas da fachada posterior do Grande Hotel Muriaé.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Aprovada</w:t>
            </w:r>
          </w:p>
        </w:tc>
      </w:tr>
      <w:tr>
        <w:trPr/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E7E6E6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/>
                <w:b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>Testada do corredor lateral</w:t>
            </w:r>
          </w:p>
        </w:tc>
        <w:tc>
          <w:tcPr>
            <w:tcW w:w="2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>minimo de 5 metros, segundo a Lei Federal 6766/79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 w:val="false"/>
                <w:bCs w:val="false"/>
                <w:sz w:val="22"/>
                <w:szCs w:val="22"/>
              </w:rPr>
              <w:t xml:space="preserve">O corredor lateral configurava-se como afastamento lateral do bem tombado. </w:t>
            </w:r>
          </w:p>
        </w:tc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Permitido apenas o acesso de pedestres, com restriçoes, entre elas a manutenção do nivel e material do piso existente. 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b/>
                <w:sz w:val="22"/>
                <w:szCs w:val="22"/>
              </w:rPr>
              <w:t xml:space="preserve">3,29m 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>(inferior ao exigido em Lei federal)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 </w:t>
            </w: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O projeto não submetido ao Conselho para aprovação final. </w:t>
            </w:r>
          </w:p>
          <w:p>
            <w:pPr>
              <w:pStyle w:val="Normal"/>
              <w:bidi w:val="0"/>
              <w:spacing w:before="0" w:after="0"/>
              <w:jc w:val="center"/>
              <w:rPr>
                <w:rFonts w:ascii="Garamond" w:hAnsi="Garamond" w:eastAsia="Calibri" w:cs="Garamond"/>
                <w:sz w:val="22"/>
                <w:szCs w:val="22"/>
              </w:rPr>
            </w:pPr>
            <w:r>
              <w:rPr>
                <w:rFonts w:eastAsia="Calibri" w:cs="Garamond" w:ascii="Garamond" w:hAnsi="Garamond"/>
                <w:sz w:val="22"/>
                <w:szCs w:val="22"/>
              </w:rPr>
              <w:t xml:space="preserve">A proposta não aprovada pelo conselho prevê a execução de rampa no corredor lateral até a portaria. </w:t>
            </w:r>
          </w:p>
        </w:tc>
      </w:tr>
    </w:tbl>
    <w:p>
      <w:pPr>
        <w:pStyle w:val="Normal"/>
        <w:spacing w:lineRule="auto" w:line="276"/>
        <w:ind w:left="0" w:right="0" w:firstLine="708"/>
        <w:jc w:val="both"/>
        <w:rPr>
          <w:rFonts w:ascii="Garamond" w:hAnsi="Garamond" w:cs="Garamond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Garamond" w:ascii="Garamond" w:hAnsi="Garamond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76"/>
        <w:ind w:left="0" w:right="0" w:firstLine="709"/>
        <w:jc w:val="both"/>
        <w:rPr/>
      </w:pPr>
      <w:r>
        <w:rPr>
          <w:rFonts w:cs="Garamond" w:ascii="Garamond" w:hAnsi="Garamond"/>
          <w:b w:val="false"/>
          <w:bCs w:val="false"/>
          <w:color w:val="000000"/>
          <w:sz w:val="24"/>
          <w:szCs w:val="24"/>
        </w:rPr>
        <w:t xml:space="preserve">Consta na Nota Técnica nº 47/2017 que os fatos se tornaram ainda mais graves quando o empreendedor modificou o projeto então aprovado pelo COMPATRI, </w:t>
      </w:r>
      <w:r>
        <w:rPr>
          <w:rFonts w:cs="Garamond" w:ascii="Garamond" w:hAnsi="Garamond"/>
          <w:b w:val="false"/>
          <w:bCs w:val="false"/>
          <w:color w:val="000000"/>
          <w:sz w:val="24"/>
          <w:szCs w:val="24"/>
          <w:u w:val="single"/>
        </w:rPr>
        <w:t>acrescentando</w:t>
      </w:r>
      <w:r>
        <w:rPr>
          <w:rFonts w:cs="Garamond" w:ascii="Garamond" w:hAnsi="Garamond"/>
          <w:b w:val="false"/>
          <w:bCs w:val="false"/>
          <w:color w:val="000000"/>
          <w:sz w:val="24"/>
          <w:szCs w:val="24"/>
        </w:rPr>
        <w:t xml:space="preserve"> 1 (um) nível de garagem (G5), área privativa da LGA de uso comercial e de circulação e elevadores (nível 6), nível intermediário de circulação (2ª parada do elevador, conforme indicado no corte na prancha 12/18) e portaria / recepção (com escadas e elevador) a partir do acesso a partir da Praça João Pinheiro. </w:t>
      </w:r>
      <w:r>
        <w:rPr>
          <w:rFonts w:eastAsia="Times New Roman" w:cs="Garamond" w:ascii="Garamond" w:hAnsi="Garamond"/>
          <w:b w:val="false"/>
          <w:bCs/>
          <w:color w:val="000000"/>
          <w:sz w:val="24"/>
          <w:szCs w:val="24"/>
          <w:lang w:eastAsia="pt-BR"/>
        </w:rPr>
        <w:t>A pedido da empresa, em 10/03/2016,</w:t>
      </w:r>
      <w:r>
        <w:rPr>
          <w:rFonts w:eastAsia="Times New Roman" w:cs="Garamond" w:ascii="Garamond" w:hAnsi="Garamond"/>
          <w:b w:val="false"/>
          <w:bCs/>
          <w:color w:val="FF0000"/>
          <w:sz w:val="24"/>
          <w:szCs w:val="24"/>
          <w:lang w:eastAsia="pt-BR"/>
        </w:rPr>
        <w:t xml:space="preserve"> </w:t>
      </w:r>
      <w:r>
        <w:rPr>
          <w:rFonts w:eastAsia="Times New Roman" w:cs="Garamond" w:ascii="Garamond" w:hAnsi="Garamond"/>
          <w:b w:val="false"/>
          <w:bCs/>
          <w:color w:val="000000"/>
          <w:sz w:val="24"/>
          <w:szCs w:val="24"/>
          <w:lang w:eastAsia="pt-BR"/>
        </w:rPr>
        <w:t xml:space="preserve">o Município autorizou, ainda, uma passarela de ligação entre o condomínio e o Grande Hotel Muriahe. </w:t>
      </w:r>
      <w:r>
        <w:rPr>
          <w:rFonts w:cs="Garamond" w:ascii="Garamond" w:hAnsi="Garamond"/>
          <w:b w:val="false"/>
          <w:bCs w:val="false"/>
          <w:color w:val="000000"/>
          <w:sz w:val="24"/>
          <w:szCs w:val="24"/>
        </w:rPr>
        <w:t xml:space="preserve">Essas modificações no projeto não foram </w:t>
      </w:r>
      <w:r>
        <w:rPr>
          <w:rFonts w:cs="Garamond" w:ascii="Garamond" w:hAnsi="Garamond"/>
          <w:b w:val="false"/>
          <w:bCs w:val="false"/>
          <w:color w:val="000000"/>
          <w:sz w:val="24"/>
          <w:szCs w:val="24"/>
          <w:u w:val="single"/>
        </w:rPr>
        <w:t>submetidas a análise prévia do COMPAC</w:t>
      </w:r>
      <w:r>
        <w:rPr>
          <w:rStyle w:val="Ncoradanotaderodap"/>
          <w:rFonts w:cs="Garamond" w:ascii="Garamond" w:hAnsi="Garamond"/>
          <w:b w:val="false"/>
          <w:bCs w:val="false"/>
          <w:color w:val="000000"/>
          <w:sz w:val="24"/>
          <w:szCs w:val="24"/>
          <w:u w:val="single"/>
        </w:rPr>
        <w:footnoteReference w:id="2"/>
      </w:r>
      <w:r>
        <w:rPr>
          <w:rStyle w:val="Caracteresdenotaderodap"/>
          <w:rFonts w:cs="Garamond" w:ascii="Garamond" w:hAnsi="Garamond"/>
          <w:b w:val="false"/>
          <w:bCs w:val="false"/>
          <w:color w:val="000000"/>
          <w:sz w:val="24"/>
          <w:szCs w:val="24"/>
        </w:rPr>
        <w:t xml:space="preserve"> e mesmo assim foram aprovadas pelo município através dos Alvarás de </w:t>
      </w:r>
      <w:r>
        <w:rPr>
          <w:rFonts w:cs="Garamond" w:ascii="Garamond" w:hAnsi="Garamond"/>
          <w:b w:val="false"/>
          <w:bCs w:val="false"/>
          <w:color w:val="000000"/>
          <w:sz w:val="24"/>
          <w:szCs w:val="24"/>
        </w:rPr>
        <w:t>Construção nº 1694/2014, de 20/11/2014, que foi atualizado em 2</w:t>
      </w:r>
      <w:r>
        <w:rPr>
          <w:rFonts w:cs="Garamond" w:ascii="Garamond" w:hAnsi="Garamond"/>
          <w:b w:val="false"/>
          <w:bCs w:val="false"/>
          <w:sz w:val="24"/>
          <w:szCs w:val="24"/>
        </w:rPr>
        <w:t>9/09/2016, e a</w:t>
      </w: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>lvará de Construção nº 2757/2016.</w:t>
      </w:r>
    </w:p>
    <w:tbl>
      <w:tblPr>
        <w:tblW w:w="8838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8838"/>
      </w:tblGrid>
      <w:tr>
        <w:trPr/>
        <w:tc>
          <w:tcPr>
            <w:tcW w:w="88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spacing w:before="0" w:after="200"/>
              <w:jc w:val="both"/>
              <w:rPr>
                <w:rFonts w:ascii="Garamond" w:hAnsi="Garamond"/>
                <w:sz w:val="22"/>
                <w:szCs w:val="22"/>
              </w:rPr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08930" cy="4359910"/>
                  <wp:effectExtent l="0" t="0" r="0" b="0"/>
                  <wp:wrapSquare wrapText="largest"/>
                  <wp:docPr id="1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1609" t="0" r="338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30" cy="435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ramond" w:hAnsi="Garamond"/>
                <w:sz w:val="22"/>
                <w:szCs w:val="22"/>
              </w:rPr>
              <w:t>F</w:t>
            </w:r>
            <w:r>
              <w:rPr>
                <w:rFonts w:ascii="Garamond" w:hAnsi="Garamond"/>
                <w:sz w:val="22"/>
                <w:szCs w:val="22"/>
              </w:rPr>
              <w:t xml:space="preserve">igura 01 - Croqui demonstrando em cores os acréscimos ao projeto que não foram objeto de aprovação do Conselho Municipal de Patrimônio Cultural de Muriaé. Em vermelho, os níveis da </w:t>
            </w:r>
            <w:r>
              <w:rPr>
                <w:rFonts w:cs="Garamond" w:ascii="Garamond" w:hAnsi="Garamond"/>
                <w:b w:val="false"/>
                <w:bCs w:val="false"/>
                <w:color w:val="000000"/>
                <w:sz w:val="22"/>
                <w:szCs w:val="22"/>
              </w:rPr>
              <w:t xml:space="preserve">garagem (G5), área privativa da LGA de uso comercial e de circulação e elevadores (nível 6), nível intermediário de circulação  e portaria / recepção. Em verde, </w:t>
            </w:r>
            <w:r>
              <w:rPr>
                <w:rFonts w:eastAsia="Times New Roman" w:cs="Garamond" w:ascii="Garamond" w:hAnsi="Garamond"/>
                <w:b w:val="false"/>
                <w:bCs/>
                <w:color w:val="000000"/>
                <w:sz w:val="22"/>
                <w:szCs w:val="22"/>
                <w:lang w:eastAsia="pt-BR"/>
              </w:rPr>
              <w:t>a passarela e rampa de ligação entre o condomínio e o Grande Hotel Muriahe.</w:t>
            </w:r>
          </w:p>
        </w:tc>
      </w:tr>
    </w:tbl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Times New Roman"/>
          <w:bCs/>
          <w:lang w:eastAsia="pt-BR"/>
        </w:rPr>
      </w:pPr>
      <w:r>
        <w:rPr>
          <w:rFonts w:eastAsia="Times New Roman" w:cs="Times New Roman" w:ascii="Garamond" w:hAnsi="Garamond"/>
          <w:bCs/>
          <w:lang w:eastAsia="pt-BR"/>
        </w:rPr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/>
      </w:pPr>
      <w:r>
        <w:rPr>
          <w:rFonts w:cs="Garamond" w:ascii="Garamond" w:hAnsi="Garamond"/>
          <w:sz w:val="24"/>
          <w:szCs w:val="24"/>
        </w:rPr>
        <w:tab/>
        <w:t>A Nota Técnica nº 47/2017 ainda descreve que o corredor lateral esquerdo do Grande Hotel de Muriahe, com frente de 3,29 metros voltada para Praça João Pinheiro, foi incorporado ao terreno que contém o empreendimento em anál</w:t>
      </w:r>
      <w:r>
        <w:rPr>
          <w:rFonts w:cs="Garamond" w:ascii="Garamond" w:hAnsi="Garamond"/>
          <w:sz w:val="24"/>
          <w:szCs w:val="24"/>
          <w:u w:val="none"/>
        </w:rPr>
        <w:t>ise</w:t>
      </w:r>
      <w:r>
        <w:rPr>
          <w:rStyle w:val="Ncoradanotaderodap"/>
          <w:rFonts w:cs="Garamond" w:ascii="Garamond" w:hAnsi="Garamond"/>
          <w:sz w:val="24"/>
          <w:szCs w:val="24"/>
          <w:u w:val="none"/>
        </w:rPr>
        <w:footnoteReference w:id="3"/>
      </w:r>
      <w:r>
        <w:rPr>
          <w:rFonts w:cs="Garamond" w:ascii="Garamond" w:hAnsi="Garamond"/>
          <w:sz w:val="24"/>
          <w:szCs w:val="24"/>
          <w:u w:val="none"/>
        </w:rPr>
        <w:t xml:space="preserve"> e questionou a aprovação deste remembramento tendo em vista que </w:t>
      </w: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 xml:space="preserve">a Lei 6766/79 define que os lotes deverão ter frente mínima de 5 metros.  </w:t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Garamond"/>
          <w:bCs/>
          <w:sz w:val="24"/>
          <w:szCs w:val="24"/>
          <w:lang w:eastAsia="pt-BR"/>
        </w:rPr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/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ab/>
        <w:t>Tendo em vista a suposta irregularidade da incorporação do corredor lateral esquerdo ao empreendimento, não seria possível a aprovação dos acréscimos (g</w:t>
      </w:r>
      <w:r>
        <w:rPr>
          <w:rFonts w:eastAsia="Times New Roman" w:cs="Garamond" w:ascii="Garamond" w:hAnsi="Garamond"/>
          <w:b w:val="false"/>
          <w:bCs w:val="false"/>
          <w:color w:val="000000"/>
          <w:sz w:val="24"/>
          <w:szCs w:val="24"/>
          <w:lang w:eastAsia="pt-BR"/>
        </w:rPr>
        <w:t xml:space="preserve">aragem (G5), área privativa da LGA de uso comercial e de circulação e elevadores (nível 6), nível intermediário de circulação  e portaria / recepção), cujo alvará de construção foi concedido </w:t>
      </w: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>sem análise e aprovação prévia do COMPAC.</w:t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Garamond"/>
          <w:bCs/>
          <w:sz w:val="24"/>
          <w:szCs w:val="24"/>
          <w:lang w:eastAsia="pt-BR"/>
        </w:rPr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/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ab/>
        <w:t>Acrescenta-se a isto a impossibilidade de se edificar na área central, edifícios de múltiplos pavimentos com terrenos cuja testada é inferior a 10 metros, como no caso em análise, conforme descrito no inciso XVI do artigo 21 da Lei 1231/87, que define:</w:t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Garamond"/>
          <w:bCs/>
          <w:sz w:val="24"/>
          <w:szCs w:val="24"/>
          <w:lang w:eastAsia="pt-BR"/>
        </w:rPr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</w:r>
    </w:p>
    <w:p>
      <w:pPr>
        <w:pStyle w:val="Normal"/>
        <w:bidi w:val="0"/>
        <w:spacing w:lineRule="auto" w:line="276" w:before="0" w:after="0"/>
        <w:ind w:left="2127" w:firstLine="709"/>
        <w:jc w:val="both"/>
        <w:rPr/>
      </w:pPr>
      <w:r>
        <w:rPr>
          <w:rFonts w:eastAsia="Times New Roman" w:cs="Garamond" w:ascii="Garamond" w:hAnsi="Garamond"/>
          <w:bCs/>
          <w:sz w:val="22"/>
          <w:szCs w:val="22"/>
          <w:lang w:eastAsia="pt-BR"/>
        </w:rPr>
        <w:t xml:space="preserve">XVI - Na região central, assim compreendida a área formada pelas </w:t>
        <w:tab/>
        <w:t xml:space="preserve">vias Av. Constantino Pinto, Av. Juscelino Kubitscheck, Rua João </w:t>
        <w:tab/>
        <w:t xml:space="preserve">Crisóstomo, AV. Comendador Freitas, Rua Paschoal Bernardino, </w:t>
        <w:tab/>
      </w:r>
      <w:r>
        <w:rPr>
          <w:rFonts w:eastAsia="Times New Roman" w:cs="Garamond" w:ascii="Garamond" w:hAnsi="Garamond"/>
          <w:bCs/>
          <w:sz w:val="22"/>
          <w:szCs w:val="22"/>
          <w:u w:val="single"/>
          <w:lang w:eastAsia="pt-BR"/>
        </w:rPr>
        <w:t>Praça João Pinheiro</w:t>
      </w:r>
      <w:r>
        <w:rPr>
          <w:rFonts w:eastAsia="Times New Roman" w:cs="Garamond" w:ascii="Garamond" w:hAnsi="Garamond"/>
          <w:bCs/>
          <w:sz w:val="22"/>
          <w:szCs w:val="22"/>
          <w:lang w:eastAsia="pt-BR"/>
        </w:rPr>
        <w:t xml:space="preserve">, Rua São Pedro, Rua Desembargador Canêdo, </w:t>
        <w:tab/>
        <w:t xml:space="preserve">Rua Cel. Domiciano e demais vias situadas na referida área, os </w:t>
        <w:tab/>
        <w:t xml:space="preserve">terrenos com área igual ou superior a 200 m² (duzentos metros </w:t>
        <w:tab/>
        <w:t xml:space="preserve">quadrados), </w:t>
      </w:r>
      <w:r>
        <w:rPr>
          <w:rFonts w:eastAsia="Times New Roman" w:cs="Garamond" w:ascii="Garamond" w:hAnsi="Garamond"/>
          <w:bCs/>
          <w:sz w:val="22"/>
          <w:szCs w:val="22"/>
          <w:u w:val="single"/>
          <w:lang w:eastAsia="pt-BR"/>
        </w:rPr>
        <w:t>com testada mínima de (10) dez metros,</w:t>
      </w:r>
      <w:r>
        <w:rPr>
          <w:rFonts w:eastAsia="Times New Roman" w:cs="Garamond" w:ascii="Garamond" w:hAnsi="Garamond"/>
          <w:bCs/>
          <w:sz w:val="22"/>
          <w:szCs w:val="22"/>
          <w:lang w:eastAsia="pt-BR"/>
        </w:rPr>
        <w:t xml:space="preserve"> poderão receber </w:t>
        <w:tab/>
        <w:t xml:space="preserve">edificações </w:t>
      </w:r>
      <w:r>
        <w:rPr>
          <w:rFonts w:eastAsia="Times New Roman" w:cs="Garamond" w:ascii="Garamond" w:hAnsi="Garamond"/>
          <w:bCs/>
          <w:sz w:val="22"/>
          <w:szCs w:val="22"/>
          <w:u w:val="single"/>
          <w:lang w:eastAsia="pt-BR"/>
        </w:rPr>
        <w:t>com até (08) oito pavimentos</w:t>
      </w:r>
      <w:r>
        <w:rPr>
          <w:rFonts w:eastAsia="Times New Roman" w:cs="Garamond" w:ascii="Garamond" w:hAnsi="Garamond"/>
          <w:bCs/>
          <w:sz w:val="22"/>
          <w:szCs w:val="22"/>
          <w:lang w:eastAsia="pt-BR"/>
        </w:rPr>
        <w:t xml:space="preserve"> e mais a garagem sendo que </w:t>
        <w:tab/>
        <w:t xml:space="preserve">a laje do oitavo pavimento poderá servir de piso de cobertura desde </w:t>
        <w:tab/>
        <w:t xml:space="preserve">que faça parte do imóvel do oitavo pavimento ou seja destinada a área </w:t>
        <w:tab/>
        <w:t xml:space="preserve">de lazer coletiva do prédio, mantida a obrigatoriedade no mínimo de </w:t>
        <w:tab/>
        <w:t xml:space="preserve">uma vaga de garagem para cada unidade autônoma do edifício, desde </w:t>
        <w:tab/>
        <w:t xml:space="preserve">que as ruas possuam largura igual ou superior a (07) sete metros, dos </w:t>
        <w:tab/>
        <w:t xml:space="preserve">quais, em qualquer nível, será obrigatória a construção de área de lazer </w:t>
        <w:tab/>
        <w:t xml:space="preserve">para os moradores. </w:t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Garamond"/>
          <w:bCs/>
          <w:sz w:val="24"/>
          <w:szCs w:val="24"/>
          <w:lang w:eastAsia="pt-BR"/>
        </w:rPr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/>
      </w:pP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ab/>
        <w:t xml:space="preserve">Ou seja, do ponto de vista urbanístico há apenas uma possibilidade de regularização do empreendimento 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 xml:space="preserve">à luz da Lei 1231/87, </w:t>
      </w:r>
      <w:r>
        <w:rPr>
          <w:rFonts w:eastAsia="Times New Roman" w:cs="Garamond" w:ascii="Garamond" w:hAnsi="Garamond"/>
          <w:bCs/>
          <w:sz w:val="24"/>
          <w:szCs w:val="24"/>
          <w:lang w:eastAsia="pt-BR"/>
        </w:rPr>
        <w:t xml:space="preserve">dentre as apresentadas nas 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 xml:space="preserve">conclusões da Nota Técnica nº 47/2017, </w:t>
      </w:r>
      <w:r>
        <w:rPr>
          <w:rFonts w:eastAsia="Times New Roman" w:cs="Times New Roman" w:ascii="Garamond" w:hAnsi="Garamond"/>
          <w:bCs/>
          <w:sz w:val="24"/>
          <w:szCs w:val="24"/>
          <w:u w:val="single"/>
          <w:lang w:eastAsia="pt-BR"/>
        </w:rPr>
        <w:t>que seria a demolição de 7 pavimentos voltados para a rua Severino Dias de Carvalho,</w:t>
      </w:r>
      <w:r>
        <w:rPr>
          <w:rFonts w:eastAsia="Times New Roman" w:cs="Times New Roman" w:ascii="Garamond" w:hAnsi="Garamond"/>
          <w:bCs/>
          <w:sz w:val="24"/>
          <w:szCs w:val="24"/>
          <w:lang w:eastAsia="pt-BR"/>
        </w:rPr>
        <w:t xml:space="preserve"> tendo em vista aquela rua possui largura inferior a 9 metros e, segundo a legislação urbanística municipal, nestes casos as edificações devem ter no máximo 04 (quatro) pavimentos:</w:t>
      </w:r>
    </w:p>
    <w:p>
      <w:pPr>
        <w:pStyle w:val="Normal"/>
        <w:spacing w:lineRule="auto" w:line="276"/>
        <w:ind w:firstLine="709"/>
        <w:jc w:val="both"/>
        <w:rPr/>
      </w:pPr>
      <w:r>
        <w:rPr/>
      </w:r>
    </w:p>
    <w:p>
      <w:pPr>
        <w:pStyle w:val="Corpodetexto"/>
        <w:spacing w:lineRule="auto" w:line="276"/>
        <w:ind w:firstLine="567"/>
        <w:jc w:val="both"/>
        <w:rPr>
          <w:b w:val="false"/>
          <w:b w:val="false"/>
          <w:bCs w:val="false"/>
          <w:sz w:val="22"/>
          <w:szCs w:val="22"/>
        </w:rPr>
      </w:pPr>
      <w:r>
        <w:rPr>
          <w:rFonts w:eastAsia="Times New Roman" w:cs="Times New Roman" w:ascii="Garamond" w:hAnsi="Garamond"/>
          <w:b w:val="false"/>
          <w:bCs w:val="false"/>
          <w:sz w:val="22"/>
          <w:szCs w:val="22"/>
          <w:lang w:eastAsia="pt-BR"/>
        </w:rPr>
        <w:tab/>
        <w:tab/>
        <w:tab/>
        <w:tab/>
        <w:t xml:space="preserve">Art. 21 – As edificações em Muriaé deverão atender, ainda, às </w:t>
        <w:tab/>
        <w:tab/>
        <w:tab/>
        <w:tab/>
        <w:tab/>
        <w:t>seguintes condições:</w:t>
      </w:r>
    </w:p>
    <w:p>
      <w:pPr>
        <w:pStyle w:val="Normal"/>
        <w:spacing w:lineRule="auto" w:line="276"/>
        <w:ind w:left="2836" w:hanging="0"/>
        <w:jc w:val="both"/>
        <w:rPr/>
      </w:pPr>
      <w:r>
        <w:rPr>
          <w:rFonts w:cs="Garamond" w:ascii="Garamond" w:hAnsi="Garamond"/>
          <w:sz w:val="22"/>
          <w:szCs w:val="22"/>
        </w:rPr>
        <w:t>XIII – Em qualquer zona da cidade, independente dos Tipos de Edificação permitidos, não serão admitidas edificações com mais de 4 (quatro) pavimentos em lotes lindeiros a vias públicas com menos de 9,00 m (nove metros) de largura e edificações com mais de 2 (dois) pavimentos em lotes lindeiros a vias com menos de 7 (sete) metros de largura;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Este Setor Técnico considera que, t</w:t>
      </w:r>
      <w:r>
        <w:rPr>
          <w:rFonts w:eastAsia="Times New Roman" w:cs="Times New Roman" w:ascii="Garamond" w:hAnsi="Garamond"/>
          <w:sz w:val="24"/>
          <w:szCs w:val="24"/>
          <w:lang w:eastAsia="pt-BR"/>
        </w:rPr>
        <w:t xml:space="preserve">ecnicamente a conversão em perdas e danos seria metodologicamente viável, apesar de consolidar um dano muito grave aos bens culturais cuja ambiência foi seriamente comprometida. 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Alternativamente, atendendo a solicitação da Promotoria local, sem adentrar nas questões jurídicas, seria necessária a restituição do valor comercializado dos apartamentos acima da cota altimétrica permitida, ou seja, 7 pavimentos, que se configura em lucro ilícito. Como compensação de dano à paisagem, segue em anexo a valoração monetária de danos ao Patrimônio Cultural.</w:t>
      </w:r>
    </w:p>
    <w:p>
      <w:pPr>
        <w:pStyle w:val="Normal"/>
        <w:ind w:firstLine="708"/>
        <w:jc w:val="both"/>
        <w:rPr>
          <w:b/>
          <w:b/>
          <w:bCs/>
        </w:rPr>
      </w:pPr>
      <w:r>
        <w:rPr>
          <w:rFonts w:ascii="Garamond" w:hAnsi="Garamond"/>
          <w:b/>
          <w:bCs/>
          <w:sz w:val="24"/>
          <w:szCs w:val="24"/>
        </w:rPr>
        <w:t>5.1 - Projeto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Reavaliando o projeto apresentado, constatamos que cada torre possui pavimentos tipo com 07 unidades habitacionais em cada uma, apresentando configurações diferentes: 2 unidades com 3 quartos e home office, 1 unidade com 2 quartos e home o</w:t>
      </w:r>
      <w:r>
        <w:rPr>
          <w:rFonts w:ascii="Garamond" w:hAnsi="Garamond"/>
          <w:sz w:val="24"/>
          <w:szCs w:val="24"/>
        </w:rPr>
        <w:t>f</w:t>
      </w:r>
      <w:r>
        <w:rPr>
          <w:rFonts w:ascii="Garamond" w:hAnsi="Garamond"/>
          <w:sz w:val="24"/>
          <w:szCs w:val="24"/>
        </w:rPr>
        <w:t xml:space="preserve">fice, 2 unidades com 1 quarto e 2 unidades com 2 quartos. 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 xml:space="preserve">A torre da direita (que chamaremos de torre 1) possui 10 pavimentos tipo (5º ao 14º),  e um pavimento diferenciado (15º pavimento), com 5 apartamentos de 4 configurações diferentes. 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A torre da esquerda (que chamaremos de torre 2) possui 9 pavimentos tipo (5º ao 13º)</w:t>
      </w:r>
      <w:r>
        <w:rPr>
          <w:rFonts w:ascii="Garamond" w:hAnsi="Garamond"/>
          <w:sz w:val="24"/>
          <w:szCs w:val="24"/>
        </w:rPr>
        <w:t xml:space="preserve"> e dois pavimentos diferenciados: o </w:t>
      </w:r>
      <w:r>
        <w:rPr>
          <w:rFonts w:ascii="Garamond" w:hAnsi="Garamond"/>
          <w:sz w:val="24"/>
          <w:szCs w:val="24"/>
        </w:rPr>
        <w:t>14º pavimento</w:t>
      </w:r>
      <w:r>
        <w:rPr>
          <w:rFonts w:ascii="Garamond" w:hAnsi="Garamond"/>
          <w:sz w:val="24"/>
          <w:szCs w:val="24"/>
        </w:rPr>
        <w:t xml:space="preserve"> possui</w:t>
      </w:r>
      <w:r>
        <w:rPr>
          <w:rFonts w:ascii="Garamond" w:hAnsi="Garamond"/>
          <w:sz w:val="24"/>
          <w:szCs w:val="24"/>
        </w:rPr>
        <w:t xml:space="preserve"> com 7 apartamentos de 5 configurações diferentes, sendo que um dos apartamentos é duplex</w:t>
      </w:r>
      <w:r>
        <w:rPr>
          <w:rFonts w:ascii="Garamond" w:hAnsi="Garamond"/>
          <w:sz w:val="24"/>
          <w:szCs w:val="24"/>
        </w:rPr>
        <w:t xml:space="preserve"> (neste pavimento fica o primeiro andar do apto duplex)</w:t>
      </w:r>
      <w:r>
        <w:rPr>
          <w:rFonts w:ascii="Garamond" w:hAnsi="Garamond"/>
          <w:sz w:val="24"/>
          <w:szCs w:val="24"/>
        </w:rPr>
        <w:t xml:space="preserve">; e </w:t>
      </w:r>
      <w:r>
        <w:rPr>
          <w:rFonts w:ascii="Garamond" w:hAnsi="Garamond"/>
          <w:sz w:val="24"/>
          <w:szCs w:val="24"/>
        </w:rPr>
        <w:t xml:space="preserve">o </w:t>
      </w:r>
      <w:r>
        <w:rPr>
          <w:rFonts w:ascii="Garamond" w:hAnsi="Garamond"/>
          <w:sz w:val="24"/>
          <w:szCs w:val="24"/>
        </w:rPr>
        <w:t>15º</w:t>
      </w:r>
      <w:r>
        <w:rPr>
          <w:rFonts w:ascii="Garamond" w:hAnsi="Garamond"/>
          <w:sz w:val="24"/>
          <w:szCs w:val="24"/>
        </w:rPr>
        <w:t xml:space="preserve"> pavimento possui </w:t>
      </w:r>
      <w:r>
        <w:rPr>
          <w:rFonts w:ascii="Garamond" w:hAnsi="Garamond"/>
          <w:sz w:val="24"/>
          <w:szCs w:val="24"/>
        </w:rPr>
        <w:t xml:space="preserve"> com 5 unidades diferenciadas, mais a cobertura do apartamento duplex do 14º andar. </w:t>
      </w:r>
    </w:p>
    <w:tbl>
      <w:tblPr>
        <w:tblW w:w="8850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649"/>
        <w:gridCol w:w="2940"/>
        <w:gridCol w:w="4261"/>
      </w:tblGrid>
      <w:tr>
        <w:trPr/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center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Torre</w:t>
            </w:r>
          </w:p>
        </w:tc>
        <w:tc>
          <w:tcPr>
            <w:tcW w:w="29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center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Pavimento Tpo </w:t>
            </w:r>
          </w:p>
        </w:tc>
        <w:tc>
          <w:tcPr>
            <w:tcW w:w="4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center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Pavimento Diferenciado</w:t>
            </w:r>
          </w:p>
        </w:tc>
      </w:tr>
      <w:tr>
        <w:trPr/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Torre 1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(Torre da direita)</w:t>
            </w:r>
          </w:p>
        </w:tc>
        <w:tc>
          <w:tcPr>
            <w:tcW w:w="29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5º ao 14º pavimentos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 unidades por pavimento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 x 7 = 70 apartamentos</w:t>
            </w:r>
          </w:p>
        </w:tc>
        <w:tc>
          <w:tcPr>
            <w:tcW w:w="4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15º pavimento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 unidades 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x 5 = 5 apartamentos</w:t>
            </w:r>
          </w:p>
        </w:tc>
      </w:tr>
      <w:tr>
        <w:trPr/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Torre 2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(Torre da esquerda)</w:t>
            </w:r>
          </w:p>
        </w:tc>
        <w:tc>
          <w:tcPr>
            <w:tcW w:w="29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5º ao 13º pavimentos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 unidades por pavimento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 x 7 = 63 apartamentos</w:t>
            </w:r>
          </w:p>
        </w:tc>
        <w:tc>
          <w:tcPr>
            <w:tcW w:w="4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14ºpavimento  - 7 unidades (sendo um apartamento duplex)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15º pavimento  - 5 unidades + a cobertura do apartamento duplex do 14º pavimento</w:t>
            </w:r>
          </w:p>
          <w:p>
            <w:pPr>
              <w:pStyle w:val="Contedodatabela"/>
              <w:bidi w:val="0"/>
              <w:spacing w:before="0" w:after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12 unidades. </w:t>
            </w:r>
          </w:p>
        </w:tc>
      </w:tr>
      <w:tr>
        <w:trPr/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spacing w:before="0" w:after="200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TOTAL </w:t>
            </w:r>
          </w:p>
        </w:tc>
        <w:tc>
          <w:tcPr>
            <w:tcW w:w="29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spacing w:before="0" w:after="200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Tipo  133 unidades</w:t>
            </w:r>
          </w:p>
        </w:tc>
        <w:tc>
          <w:tcPr>
            <w:tcW w:w="4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spacing w:before="0" w:after="200"/>
              <w:rPr>
                <w:rFonts w:ascii="Garamond" w:hAnsi="Garamond"/>
                <w:b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Diferenciados 17 unidades</w:t>
            </w:r>
          </w:p>
        </w:tc>
      </w:tr>
    </w:tbl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p>
      <w:pPr>
        <w:pStyle w:val="Normal"/>
        <w:numPr>
          <w:ilvl w:val="0"/>
          <w:numId w:val="0"/>
        </w:numPr>
        <w:bidi w:val="0"/>
        <w:spacing w:lineRule="auto" w:line="276" w:before="0" w:after="0"/>
        <w:ind w:right="0" w:hanging="0"/>
        <w:jc w:val="both"/>
        <w:rPr/>
      </w:pPr>
      <w:r>
        <w:rPr>
          <w:rFonts w:eastAsia="Times New Roman" w:cs="Times New Roman" w:ascii="Garamond" w:hAnsi="Garamond"/>
          <w:b w:val="false"/>
          <w:bCs w:val="false"/>
          <w:sz w:val="24"/>
          <w:szCs w:val="24"/>
          <w:lang w:eastAsia="pt-BR"/>
        </w:rPr>
        <w:tab/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Portanto, o calculo de valoração de danos </w:t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objeto da Nota Técnica nº 72/2017 </w:t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foi revisto, tendo em vista a constatação de que </w:t>
      </w: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 xml:space="preserve">as informações que nos foram passadas anteriormente encontravam-se incompletas, não incluindo a totalidade de apartamentos do empreendimento. </w:t>
      </w:r>
      <w:r>
        <w:rPr>
          <w:rFonts w:eastAsia="Times New Roman" w:cs="Times New Roman" w:ascii="Garamond" w:hAnsi="Garamond"/>
          <w:b w:val="false"/>
          <w:bCs w:val="false"/>
          <w:sz w:val="24"/>
          <w:szCs w:val="24"/>
          <w:lang w:eastAsia="pt-BR"/>
        </w:rPr>
        <w:t xml:space="preserve"> </w:t>
      </w:r>
    </w:p>
    <w:p>
      <w:pPr>
        <w:pStyle w:val="Normal"/>
        <w:bidi w:val="0"/>
        <w:spacing w:lineRule="auto" w:line="276" w:before="0" w:after="0"/>
        <w:ind w:left="0" w:right="0" w:hanging="0"/>
        <w:jc w:val="both"/>
        <w:rPr>
          <w:rFonts w:ascii="Garamond" w:hAnsi="Garamond"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 w:ascii="Garamond" w:hAnsi="Garamond"/>
          <w:sz w:val="24"/>
          <w:szCs w:val="24"/>
          <w:lang w:eastAsia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rFonts w:eastAsia="Times New Roman" w:cs="Times New Roman" w:ascii="Garamond" w:hAnsi="Garamond"/>
          <w:b/>
          <w:bCs/>
          <w:sz w:val="24"/>
          <w:szCs w:val="24"/>
          <w:lang w:eastAsia="pt-BR"/>
        </w:rPr>
        <w:t>VALORAÇÃO DE DANOS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 critério metodológico utilizado, denominado Condephaat (cópia em anexo), foi elaborado por uma equipe multidisciplinar de profissionais atuantes nas áreas do patrimônio cultural e ambiental, representando a Administração Pública direta, indireta e autárquica, o Ministério Público e segmento da sociedade civil organizada do Estado de São Paulo, entre eles o Conselho de Defesa do Patrimônio Histórico, Arqueológico, Artístico e Turístico do Estado de São Paulo (Condephaat).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Os parâmetros utilizados para a valoração da lesão consideraram dois aspectos: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que tipo de bem foi atingido, atributo este que, em última análise, foi determinante para considerá-lo como merecedor de tratamento especial através dos vários instrumentos administrativos.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 que tipo de dano foi causado a este bem, sua extensão, reversibilidade, causas e efeitos adversos decorrentes.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Para cada critério, foram atribuídos pontos que são maiores ou menores de acordo com a importância do bem, e de acordo com os danos causados ao mesmo, potencial de recuperação destes danos e os prejuízos gerados pelo dano ao imóvel. Estes pontos são lançados em uma fórmula juntamente com o valor venal do imóvel que sofreu a lesão, resultando no valor total da indenização. 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Para facilitar a sua utilização, esta metodologia e suas fórmulas foram aplicadas em uma tabela, que foi elaborada pelo Engenheiro de Minas Reinaldo Pimenta, lotado na Central de Apoio Técnico do Ministério Público do Estado de Minas Gerais.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Para o cálculo da indenização é necessário informar o valor venal do imóvel. Tendo como referência estes valores, e considerando que foram construídos 7 pavimentos acima do permitido em legislação municipal, os pavimentos considerados ilicitos foram o 9º ao 15º.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 xml:space="preserve">Portanto, as unidades consideradas ilicitas são 901 a 907, 1001 a 1007, 1101 a 1107, 1201 a 1207, 1301 a 1307, 1401 a 1407 e 1501 a 1505 das duas torres.  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tbl>
      <w:tblPr>
        <w:tblW w:w="8838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8838"/>
      </w:tblGrid>
      <w:tr>
        <w:trPr/>
        <w:tc>
          <w:tcPr>
            <w:tcW w:w="88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spacing w:before="0" w:after="200"/>
              <w:rPr>
                <w:rFonts w:ascii="Garamond" w:hAnsi="Garamond"/>
              </w:rPr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542280" cy="4399915"/>
                  <wp:effectExtent l="0" t="0" r="0" b="0"/>
                  <wp:wrapSquare wrapText="largest"/>
                  <wp:docPr id="2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439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ramond" w:hAnsi="Garamond"/>
              </w:rPr>
              <w:t>F</w:t>
            </w:r>
            <w:r>
              <w:rPr>
                <w:rFonts w:ascii="Garamond" w:hAnsi="Garamond"/>
              </w:rPr>
              <w:t xml:space="preserve">igura 02 - Em azul, niveis ilicitos construidos acima da altimetria máxima permitida de 4 pavimentos </w:t>
            </w:r>
          </w:p>
        </w:tc>
      </w:tr>
    </w:tbl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>A  empresa LGA Empreendimentos Imobiliários forneceu tabela com os valores de  algumas das unidades (ver documento anexo). O c</w:t>
      </w:r>
      <w:r>
        <w:rPr>
          <w:rFonts w:ascii="Garamond" w:hAnsi="Garamond"/>
          <w:sz w:val="24"/>
          <w:szCs w:val="24"/>
        </w:rPr>
        <w:t>á</w:t>
      </w:r>
      <w:r>
        <w:rPr>
          <w:rFonts w:ascii="Garamond" w:hAnsi="Garamond"/>
          <w:sz w:val="24"/>
          <w:szCs w:val="24"/>
        </w:rPr>
        <w:t xml:space="preserve">lculo do valor das demais unidades que consideramos </w:t>
      </w:r>
      <w:r>
        <w:rPr>
          <w:rFonts w:ascii="Garamond" w:hAnsi="Garamond"/>
          <w:sz w:val="24"/>
          <w:szCs w:val="24"/>
        </w:rPr>
        <w:t>ilícitas</w:t>
      </w:r>
      <w:r>
        <w:rPr>
          <w:rFonts w:ascii="Garamond" w:hAnsi="Garamond"/>
          <w:sz w:val="24"/>
          <w:szCs w:val="24"/>
        </w:rPr>
        <w:t xml:space="preserve"> foi feito por este Setor Técnico considerando o valor médio do metro quadrado das unidades</w:t>
      </w:r>
      <w:r>
        <w:rPr>
          <w:rFonts w:ascii="Garamond" w:hAnsi="Garamond"/>
          <w:sz w:val="24"/>
          <w:szCs w:val="24"/>
        </w:rPr>
        <w:t xml:space="preserve"> (calculado em R$3500,00/m</w:t>
      </w:r>
      <w:r>
        <w:rPr>
          <w:rFonts w:eastAsia="Calibri" w:cs="" w:ascii="Garamond" w:hAnsi="Garamond"/>
          <w:sz w:val="24"/>
          <w:szCs w:val="24"/>
        </w:rPr>
        <w:t>²</w:t>
      </w:r>
      <w:r>
        <w:rPr>
          <w:rFonts w:eastAsia="Calibri" w:cs=""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, que segue </w:t>
      </w:r>
      <w:r>
        <w:rPr>
          <w:rFonts w:ascii="Garamond" w:hAnsi="Garamond"/>
          <w:sz w:val="24"/>
          <w:szCs w:val="24"/>
        </w:rPr>
        <w:t>no</w:t>
      </w:r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Q</w:t>
      </w:r>
      <w:r>
        <w:rPr>
          <w:rFonts w:ascii="Garamond" w:hAnsi="Garamond"/>
          <w:sz w:val="24"/>
          <w:szCs w:val="24"/>
        </w:rPr>
        <w:t xml:space="preserve">uadro </w:t>
      </w:r>
      <w:r>
        <w:rPr>
          <w:rFonts w:ascii="Garamond" w:hAnsi="Garamond"/>
          <w:sz w:val="24"/>
          <w:szCs w:val="24"/>
        </w:rPr>
        <w:t>I anexo. A metragem de cada uma das unidades consta na tabela entregue pela LGA e no sitio eletrônico da empresa, no endereço  http://lgaconstrutora.com.br/empreendimento/central-park/.</w:t>
      </w:r>
      <w:r>
        <w:br w:type="page"/>
      </w:r>
    </w:p>
    <w:tbl>
      <w:tblPr>
        <w:tblW w:w="8838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8838"/>
      </w:tblGrid>
      <w:tr>
        <w:trPr/>
        <w:tc>
          <w:tcPr>
            <w:tcW w:w="8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pageBreakBefore/>
              <w:bidi w:val="0"/>
              <w:spacing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309870" cy="2531745"/>
                  <wp:effectExtent l="0" t="0" r="0" b="0"/>
                  <wp:wrapSquare wrapText="largest"/>
                  <wp:docPr id="3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870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88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bidi w:val="0"/>
              <w:spacing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179060" cy="2413635"/>
                  <wp:effectExtent l="0" t="0" r="0" b="0"/>
                  <wp:wrapSquare wrapText="largest"/>
                  <wp:docPr id="4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060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88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bidi w:val="0"/>
              <w:spacing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45050" cy="2256155"/>
                  <wp:effectExtent l="0" t="0" r="0" b="0"/>
                  <wp:wrapSquare wrapText="largest"/>
                  <wp:docPr id="5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22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  <w:p>
            <w:pPr>
              <w:pStyle w:val="Contedodatabela"/>
              <w:bidi w:val="0"/>
              <w:spacing w:before="0" w:after="0"/>
              <w:rPr/>
            </w:pPr>
            <w:r>
              <w:rPr/>
            </w:r>
          </w:p>
        </w:tc>
      </w:tr>
      <w:tr>
        <w:trPr/>
        <w:tc>
          <w:tcPr>
            <w:tcW w:w="88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bidi w:val="0"/>
              <w:spacing w:before="0" w:after="0"/>
              <w:rPr>
                <w:rFonts w:ascii="Garamond" w:hAnsi="Garamond"/>
              </w:rPr>
            </w:pPr>
            <w: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542280" cy="3030220"/>
                  <wp:effectExtent l="0" t="0" r="0" b="0"/>
                  <wp:wrapSquare wrapText="largest"/>
                  <wp:docPr id="6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30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ramond" w:hAnsi="Garamond"/>
              </w:rPr>
              <w:t xml:space="preserve">Figuras 03 a 06 - Aptos tipo com área e descrição, disponiveis no sitio eletronico da empresa LGA </w:t>
            </w:r>
          </w:p>
          <w:p>
            <w:pPr>
              <w:pStyle w:val="Contedodatabela"/>
              <w:bidi w:val="0"/>
              <w:spacing w:before="0"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Fonte: http://lgaconstrutora.com.br/empreendimento/central-park/</w:t>
            </w:r>
          </w:p>
        </w:tc>
      </w:tr>
    </w:tbl>
    <w:p>
      <w:pPr>
        <w:pStyle w:val="Normal"/>
        <w:ind w:hanging="0"/>
        <w:jc w:val="both"/>
        <w:rPr>
          <w:rFonts w:ascii="Garamond" w:hAnsi="Garamond"/>
          <w:sz w:val="24"/>
          <w:szCs w:val="24"/>
        </w:rPr>
      </w:pPr>
      <w:r>
        <w:rPr/>
      </w:r>
    </w:p>
    <w:p>
      <w:pPr>
        <w:pStyle w:val="Normal"/>
        <w:ind w:hanging="0"/>
        <w:jc w:val="both"/>
        <w:rPr/>
      </w:pPr>
      <w:r>
        <w:rPr>
          <w:rFonts w:ascii="Garamond" w:hAnsi="Garamond"/>
          <w:sz w:val="24"/>
          <w:szCs w:val="24"/>
        </w:rPr>
        <w:tab/>
        <w:t xml:space="preserve">O </w:t>
      </w:r>
      <w:r>
        <w:rPr>
          <w:rFonts w:ascii="Garamond" w:hAnsi="Garamond"/>
          <w:sz w:val="24"/>
          <w:szCs w:val="24"/>
        </w:rPr>
        <w:t xml:space="preserve">valor das unidades consideradas ilícitas </w:t>
      </w:r>
      <w:r>
        <w:rPr>
          <w:rFonts w:ascii="Garamond" w:hAnsi="Garamond"/>
          <w:sz w:val="24"/>
          <w:szCs w:val="24"/>
        </w:rPr>
        <w:t>é R$15.505.000,00 da torre 1 e R$15.218.000,00 da torre 2, conforme Quadro I. O valor total das unidades ilicitas é R$ 30.723.000,00 (trinta milhões setecentos e vinte e três mil reais).</w:t>
      </w:r>
    </w:p>
    <w:p>
      <w:pPr>
        <w:pStyle w:val="Normal"/>
        <w:ind w:firstLine="708"/>
        <w:jc w:val="both"/>
        <w:rPr/>
      </w:pPr>
      <w:r>
        <w:rPr>
          <w:rFonts w:ascii="Garamond" w:hAnsi="Garamond"/>
          <w:sz w:val="24"/>
          <w:szCs w:val="24"/>
        </w:rPr>
        <w:t xml:space="preserve">O valor total a ser indenizado, seguindo a metodologia descrita acima, tendo sido utilizado para cálculo o valor dos imóveis, foi de R$ R$ </w:t>
      </w:r>
      <w:r>
        <w:rPr>
          <w:rFonts w:ascii="Garamond" w:hAnsi="Garamond"/>
          <w:sz w:val="24"/>
          <w:szCs w:val="24"/>
        </w:rPr>
        <w:t>88.186.809,28</w:t>
      </w:r>
      <w:r>
        <w:rPr>
          <w:rFonts w:ascii="Garamond" w:hAnsi="Garamond"/>
          <w:sz w:val="24"/>
          <w:szCs w:val="24"/>
        </w:rPr>
        <w:t xml:space="preserve"> (</w:t>
      </w:r>
      <w:r>
        <w:rPr>
          <w:rFonts w:ascii="Garamond" w:hAnsi="Garamond"/>
          <w:sz w:val="24"/>
          <w:szCs w:val="24"/>
        </w:rPr>
        <w:t>oitenta e oito milhões cento e oitenta e seis mil oitocentos e nove reais e vinte e oito centavos</w:t>
      </w:r>
      <w:r>
        <w:rPr>
          <w:rFonts w:ascii="Garamond" w:hAnsi="Garamond"/>
          <w:sz w:val="24"/>
          <w:szCs w:val="24"/>
        </w:rPr>
        <w:t>), considerando que o impacto a</w:t>
      </w:r>
      <w:r>
        <w:rPr>
          <w:rFonts w:ascii="Garamond" w:hAnsi="Garamond"/>
          <w:sz w:val="24"/>
          <w:szCs w:val="24"/>
        </w:rPr>
        <w:t>os bens culturais e à</w:t>
      </w:r>
      <w:r>
        <w:rPr>
          <w:rFonts w:ascii="Garamond" w:hAnsi="Garamond"/>
          <w:sz w:val="24"/>
          <w:szCs w:val="24"/>
        </w:rPr>
        <w:t xml:space="preserve"> vizinhança </w:t>
      </w:r>
      <w:r>
        <w:rPr>
          <w:rFonts w:ascii="Garamond" w:hAnsi="Garamond"/>
          <w:sz w:val="24"/>
          <w:szCs w:val="24"/>
        </w:rPr>
        <w:t>será</w:t>
      </w:r>
      <w:r>
        <w:rPr>
          <w:rFonts w:ascii="Garamond" w:hAnsi="Garamond"/>
          <w:sz w:val="24"/>
          <w:szCs w:val="24"/>
        </w:rPr>
        <w:t xml:space="preserve"> permanente.</w:t>
      </w:r>
    </w:p>
    <w:p>
      <w:pPr>
        <w:pStyle w:val="Normal"/>
        <w:ind w:firstLine="708"/>
        <w:jc w:val="both"/>
        <w:rPr>
          <w:rFonts w:ascii="Garamond" w:hAnsi="Garamond"/>
          <w:b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7. Encerramento</w:t>
      </w:r>
    </w:p>
    <w:p>
      <w:pPr>
        <w:pStyle w:val="Normal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Sendo só para o momento, este Setor Técnico coloca-se a disposição para os esclarecimentos que se julgarem necessários. </w:t>
      </w:r>
    </w:p>
    <w:p>
      <w:pPr>
        <w:pStyle w:val="Normal"/>
        <w:ind w:firstLine="708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Belo Horizonte, 03 de agosto de 2018. </w:t>
      </w:r>
    </w:p>
    <w:p>
      <w:pPr>
        <w:pStyle w:val="Normal"/>
        <w:ind w:firstLine="708"/>
        <w:jc w:val="center"/>
        <w:rPr>
          <w:rFonts w:ascii="Garamond" w:hAnsi="Garamond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36495" cy="357505"/>
            <wp:effectExtent l="0" t="0" r="0" b="0"/>
            <wp:wrapSquare wrapText="largest"/>
            <wp:docPr id="7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before="0" w:after="0"/>
        <w:ind w:firstLine="708"/>
        <w:jc w:val="center"/>
        <w:rPr>
          <w:rFonts w:ascii="Garamond" w:hAnsi="Garamond"/>
          <w:sz w:val="24"/>
          <w:szCs w:val="24"/>
        </w:rPr>
      </w:pPr>
      <w:r>
        <w:rPr/>
      </w:r>
    </w:p>
    <w:p>
      <w:pPr>
        <w:pStyle w:val="Normal"/>
        <w:bidi w:val="0"/>
        <w:spacing w:before="0" w:after="0"/>
        <w:ind w:firstLine="708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Andréa Lanna Mendes Novais</w:t>
      </w:r>
    </w:p>
    <w:p>
      <w:pPr>
        <w:pStyle w:val="Normal"/>
        <w:bidi w:val="0"/>
        <w:spacing w:before="0" w:after="0"/>
        <w:ind w:firstLine="708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Analista do Ministério Público – MAMP 3951</w:t>
      </w:r>
    </w:p>
    <w:p>
      <w:pPr>
        <w:pStyle w:val="Normal"/>
        <w:bidi w:val="0"/>
        <w:spacing w:before="0" w:after="0"/>
        <w:ind w:firstLine="708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Arquiteta Urbanista – CAU A 27713-4 </w:t>
      </w:r>
    </w:p>
    <w:p>
      <w:pPr>
        <w:pStyle w:val="Normal"/>
        <w:spacing w:before="0" w:after="200"/>
        <w:ind w:firstLine="708"/>
        <w:jc w:val="both"/>
        <w:rPr/>
      </w:pPr>
      <w:r>
        <w:rPr/>
      </w:r>
    </w:p>
    <w:sectPr>
      <w:headerReference w:type="default" r:id="rId9"/>
      <w:footerReference w:type="default" r:id="rId10"/>
      <w:footnotePr>
        <w:numFmt w:val="decimal"/>
      </w:footnotePr>
      <w:type w:val="nextPage"/>
      <w:pgSz w:w="12240" w:h="15840"/>
      <w:pgMar w:left="1701" w:right="1701" w:header="567" w:top="624" w:footer="567" w:bottom="624" w:gutter="0"/>
      <w:pgNumType w:fmt="decimal"/>
      <w:formProt w:val="false"/>
      <w:textDirection w:val="lrTb"/>
      <w:docGrid w:type="default" w:linePitch="60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aramond">
    <w:charset w:val="00"/>
    <w:family w:val="roman"/>
    <w:pitch w:val="variable"/>
  </w:font>
  <w:font w:name="Garamond">
    <w:charset w:val="01"/>
    <w:family w:val="roman"/>
    <w:pitch w:val="default"/>
  </w:font>
  <w:font w:name="Garamond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inline distT="0" distB="0" distL="0" distR="0">
          <wp:extent cx="5342890" cy="504825"/>
          <wp:effectExtent l="0" t="0" r="0" b="0"/>
          <wp:docPr id="9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0461" r="0" b="27912"/>
                  <a:stretch>
                    <a:fillRect/>
                  </a:stretch>
                </pic:blipFill>
                <pic:spPr bwMode="auto">
                  <a:xfrm>
                    <a:off x="0" y="0"/>
                    <a:ext cx="534289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rmal"/>
        <w:jc w:val="both"/>
        <w:rPr/>
      </w:pPr>
      <w:r>
        <w:rPr>
          <w:rFonts w:eastAsia="Garamond" w:cs="Garamond" w:ascii="Garamond" w:hAnsi="Garamond"/>
          <w:sz w:val="18"/>
          <w:szCs w:val="18"/>
        </w:rPr>
        <w:footnoteRef/>
        <w:tab/>
        <w:t xml:space="preserve"> </w:t>
      </w:r>
      <w:r>
        <w:rPr>
          <w:rFonts w:cs="Garamond" w:ascii="Garamond" w:hAnsi="Garamond"/>
          <w:sz w:val="18"/>
          <w:szCs w:val="18"/>
        </w:rPr>
        <w:t xml:space="preserve">Não consta nos autos cópias das atas das reuniões do Conselho Municipal de Patrimônio Cultural que comprovam a aprovação pelo Conselho da portaria a partir da praça João Pinheiro, com acréscimo de pavimentos comerciais e da passarela unindo os prédios. Em contato com o senhor Rodrigo, Assessor Jurídico da Fundarte, e com a arquiteta Flávia, fomos informados que não houve a análise e aprovação pelo COMPAC do acréscimo de um pavimento de garagem, portaria e loja comercial, e da passarela unindo os dois prédios. </w:t>
      </w:r>
    </w:p>
    <w:p>
      <w:pPr>
        <w:pStyle w:val="Notaderodap"/>
        <w:spacing w:before="0" w:after="200"/>
        <w:rPr/>
      </w:pPr>
      <w:r>
        <w:rPr/>
      </w:r>
    </w:p>
  </w:footnote>
  <w:footnote w:id="3">
    <w:p>
      <w:pPr>
        <w:pStyle w:val="Normal"/>
        <w:bidi w:val="0"/>
        <w:spacing w:lineRule="auto" w:line="276" w:before="0" w:after="0"/>
        <w:ind w:left="0" w:right="0" w:hanging="0"/>
        <w:jc w:val="both"/>
        <w:rPr/>
      </w:pPr>
      <w:r>
        <w:rPr>
          <w:rFonts w:cs="Garamond" w:ascii="Garamond" w:hAnsi="Garamond"/>
          <w:sz w:val="20"/>
          <w:szCs w:val="20"/>
          <w:u w:val="none"/>
        </w:rPr>
        <w:footnoteRef/>
        <w:tab/>
        <w:t xml:space="preserve"> </w:t>
      </w:r>
      <w:r>
        <w:rPr>
          <w:rFonts w:cs="Garamond" w:ascii="Garamond" w:hAnsi="Garamond"/>
          <w:sz w:val="20"/>
          <w:szCs w:val="20"/>
          <w:u w:val="none"/>
        </w:rPr>
        <w:t xml:space="preserve">O terreno correspondente ao corredor lateral esquerdo do Grande Hotel é de propriedade da LGA Empreendimentos Imobiliários, que também é proprietária de parte do Grande Hotel (pavimento térreo e galeria comercial), e do empreendimento em construção nos fundos do Grande 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5400040" cy="838200"/>
          <wp:effectExtent l="0" t="0" r="0" b="0"/>
          <wp:docPr id="8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a17225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17225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a17225"/>
    <w:rPr>
      <w:rFonts w:ascii="Tahoma" w:hAnsi="Tahoma" w:cs="Tahoma"/>
      <w:sz w:val="16"/>
      <w:szCs w:val="16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a6061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a60613"/>
    <w:rPr>
      <w:vertAlign w:val="superscript"/>
    </w:rPr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a17225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17225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a1722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972"/>
    <w:pPr>
      <w:spacing w:before="0" w:after="200"/>
      <w:ind w:left="720" w:hanging="0"/>
      <w:contextualSpacing/>
    </w:pPr>
    <w:rPr/>
  </w:style>
  <w:style w:type="paragraph" w:styleId="Footnotetext">
    <w:name w:val="footnote text"/>
    <w:basedOn w:val="Normal"/>
    <w:link w:val="TextodenotaderodapChar"/>
    <w:uiPriority w:val="99"/>
    <w:semiHidden/>
    <w:unhideWhenUsed/>
    <w:qFormat/>
    <w:rsid w:val="00a60613"/>
    <w:pPr>
      <w:spacing w:lineRule="auto" w:line="240" w:before="0" w:after="0"/>
    </w:pPr>
    <w:rPr>
      <w:sz w:val="20"/>
      <w:szCs w:val="20"/>
    </w:rPr>
  </w:style>
  <w:style w:type="paragraph" w:styleId="Notaderodap">
    <w:name w:val="Footnote Text"/>
    <w:basedOn w:val="Normal"/>
    <w:pPr/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otnotes" Target="footnotes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CB3E3-5E15-4137-909A-BEC13B75C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Application>LibreOffice/5.3.7.2$Windows_X86_64 LibreOffice_project/6b8ed514a9f8b44d37a1b96673cbbdd077e24059</Application>
  <Pages>9</Pages>
  <Words>2113</Words>
  <Characters>11298</Characters>
  <CharactersWithSpaces>13370</CharactersWithSpaces>
  <Paragraphs>107</Paragraphs>
  <Company>Ministério Público do Estado de Minas Gerais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2017-12-12T16:23:00Z</dcterms:created>
  <dc:creator>Andrea Lanna Mendes Novais</dc:creator>
  <dc:description/>
  <dc:language>pt-BR</dc:language>
  <cp:lastModifiedBy/>
  <dcterms:modified xsi:type="dcterms:W3CDTF">2018-08-03T14:18:11Z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Ministério Público do Estado de Minas Gerais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