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ítulo 3"/>
        <w:jc w:val="center"/>
      </w:pPr>
      <w:r>
        <w:rPr>
          <w:rStyle w:val="Número de página"/>
          <w:rtl w:val="0"/>
          <w:lang w:val="pt-PT"/>
        </w:rPr>
        <w:t>LAUDO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CNICO N 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26/ 2015</w:t>
      </w:r>
    </w:p>
    <w:p>
      <w:pPr>
        <w:pStyle w:val="Normal.0"/>
      </w:pPr>
    </w:p>
    <w:p>
      <w:pPr>
        <w:pStyle w:val="Normal.0"/>
        <w:jc w:val="center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PAAF 0024.14.015967-4</w:t>
      </w:r>
    </w:p>
    <w:p>
      <w:pPr>
        <w:pStyle w:val="Normal.0"/>
      </w:pPr>
    </w:p>
    <w:p>
      <w:pPr>
        <w:pStyle w:val="Normal.0"/>
        <w:numPr>
          <w:ilvl w:val="0"/>
          <w:numId w:val="2"/>
        </w:numPr>
        <w:bidi w:val="0"/>
        <w:ind w:right="0"/>
        <w:jc w:val="left"/>
        <w:rPr>
          <w:b w:val="1"/>
          <w:bCs w:val="1"/>
          <w:rtl w:val="0"/>
          <w:lang w:val="pt-PT"/>
        </w:rPr>
      </w:pPr>
      <w:r>
        <w:rPr>
          <w:rStyle w:val="Número de página"/>
          <w:b w:val="1"/>
          <w:bCs w:val="1"/>
          <w:rtl w:val="0"/>
          <w:lang w:val="pt-PT"/>
        </w:rPr>
        <w:t>CONSIDERA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 PRELIMINARES</w:t>
      </w:r>
    </w:p>
    <w:p>
      <w:pPr>
        <w:pStyle w:val="Normal.0"/>
        <w:rPr>
          <w:b w:val="1"/>
          <w:bCs w:val="1"/>
        </w:rPr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Em 30 de julho de 2015 foi realizada vistoria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cnica no Distrito de Itatiaia, em Ouro Branco, pela analista do Minist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rio P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blico, a historiadora Neise Mendes Duarte. A vistoria foi acompanhada pelo monitor ambiental Hamilton Cardoso Moreira do Parque Estadual da Serra de Ouro Branco.</w:t>
      </w:r>
    </w:p>
    <w:p>
      <w:pPr>
        <w:pStyle w:val="Corpo de texto 3"/>
        <w:ind w:firstLine="708"/>
        <w:rPr>
          <w:b w:val="0"/>
          <w:bCs w:val="0"/>
        </w:rPr>
      </w:pPr>
      <w:r>
        <w:rPr>
          <w:b w:val="0"/>
          <w:bCs w:val="0"/>
          <w:rtl w:val="0"/>
          <w:lang w:val="pt-PT"/>
        </w:rPr>
        <w:t>Este laudo t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>cnico tem como objetivo analisar as interven</w:t>
      </w:r>
      <w:r>
        <w:rPr>
          <w:b w:val="0"/>
          <w:bCs w:val="0"/>
          <w:rtl w:val="0"/>
          <w:lang w:val="pt-PT"/>
        </w:rPr>
        <w:t>çõ</w:t>
      </w:r>
      <w:r>
        <w:rPr>
          <w:b w:val="0"/>
          <w:bCs w:val="0"/>
          <w:rtl w:val="0"/>
          <w:lang w:val="pt-PT"/>
        </w:rPr>
        <w:t>es realizadas nas margens do rio Garcia, no Povoado de Itatiaia  e sugerir  medidas para sua preserva</w:t>
      </w:r>
      <w:r>
        <w:rPr>
          <w:b w:val="0"/>
          <w:bCs w:val="0"/>
          <w:rtl w:val="0"/>
          <w:lang w:val="pt-PT"/>
        </w:rPr>
        <w:t>çã</w:t>
      </w:r>
      <w:r>
        <w:rPr>
          <w:b w:val="0"/>
          <w:bCs w:val="0"/>
          <w:rtl w:val="0"/>
          <w:lang w:val="pt-PT"/>
        </w:rPr>
        <w:t>o das ocorr</w:t>
      </w:r>
      <w:r>
        <w:rPr>
          <w:b w:val="0"/>
          <w:bCs w:val="0"/>
          <w:rtl w:val="0"/>
          <w:lang w:val="pt-PT"/>
        </w:rPr>
        <w:t>ê</w:t>
      </w:r>
      <w:r>
        <w:rPr>
          <w:b w:val="0"/>
          <w:bCs w:val="0"/>
          <w:rtl w:val="0"/>
          <w:lang w:val="pt-PT"/>
        </w:rPr>
        <w:t>ncias arqueol</w:t>
      </w:r>
      <w:r>
        <w:rPr>
          <w:b w:val="0"/>
          <w:bCs w:val="0"/>
          <w:rtl w:val="0"/>
          <w:lang w:val="pt-PT"/>
        </w:rPr>
        <w:t>ó</w:t>
      </w:r>
      <w:r>
        <w:rPr>
          <w:b w:val="0"/>
          <w:bCs w:val="0"/>
          <w:rtl w:val="0"/>
          <w:lang w:val="pt-PT"/>
        </w:rPr>
        <w:t>gicas l</w:t>
      </w:r>
      <w:r>
        <w:rPr>
          <w:b w:val="0"/>
          <w:bCs w:val="0"/>
          <w:rtl w:val="0"/>
          <w:lang w:val="pt-PT"/>
        </w:rPr>
        <w:t xml:space="preserve">á </w:t>
      </w:r>
      <w:r>
        <w:rPr>
          <w:b w:val="0"/>
          <w:bCs w:val="0"/>
          <w:rtl w:val="0"/>
          <w:lang w:val="pt-PT"/>
        </w:rPr>
        <w:t>existentes.</w:t>
      </w:r>
    </w:p>
    <w:p>
      <w:pPr>
        <w:pStyle w:val="Normal.0"/>
        <w:jc w:val="both"/>
      </w:pPr>
    </w:p>
    <w:p>
      <w:pPr>
        <w:pStyle w:val="Corpo de texto 3"/>
        <w:ind w:firstLine="708"/>
        <w:rPr>
          <w:b w:val="0"/>
          <w:bCs w:val="0"/>
          <w:lang w:val="pt-PT"/>
        </w:rPr>
      </w:pPr>
    </w:p>
    <w:tbl>
      <w:tblPr>
        <w:tblW w:w="840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8400"/>
      </w:tblGrid>
      <w:tr>
        <w:tblPrEx>
          <w:shd w:val="clear" w:color="auto" w:fill="ced7e7"/>
        </w:tblPrEx>
        <w:trPr>
          <w:trHeight w:val="3407" w:hRule="atLeast"/>
        </w:trPr>
        <w:tc>
          <w:tcPr>
            <w:tcW w:type="dxa" w:w="84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1620"/>
              </w:tabs>
            </w:pPr>
            <w:r>
              <w:rPr>
                <w:shd w:val="nil" w:color="auto" w:fill="auto"/>
                <w:lang w:val="pt-PT"/>
              </w:rPr>
              <w:tab/>
            </w: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971165" cy="2124075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165" cy="2124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84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01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Imagem contendo a localiza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do munic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pio de Ouro Branco. Fonte: </w:t>
            </w:r>
            <w:r>
              <w:rPr>
                <w:rStyle w:val="Hyperlink.0"/>
                <w:sz w:val="22"/>
                <w:szCs w:val="22"/>
                <w:shd w:val="nil" w:color="auto" w:fill="auto"/>
                <w:lang w:val="pt-PT"/>
              </w:rPr>
              <w:fldChar w:fldCharType="begin" w:fldLock="0"/>
            </w:r>
            <w:r>
              <w:rPr>
                <w:rStyle w:val="Hyperlink.0"/>
                <w:sz w:val="22"/>
                <w:szCs w:val="22"/>
                <w:shd w:val="nil" w:color="auto" w:fill="auto"/>
                <w:lang w:val="pt-PT"/>
              </w:rPr>
              <w:instrText xml:space="preserve"> HYPERLINK "https://pt.wikipedia.org/wiki/Ouro_Branco_(Minas_Gerais"</w:instrText>
            </w:r>
            <w:r>
              <w:rPr>
                <w:rStyle w:val="Hyperlink.0"/>
                <w:sz w:val="22"/>
                <w:szCs w:val="22"/>
                <w:shd w:val="nil" w:color="auto" w:fill="auto"/>
                <w:lang w:val="pt-PT"/>
              </w:rPr>
              <w:fldChar w:fldCharType="separate" w:fldLock="0"/>
            </w:r>
            <w:r>
              <w:rPr>
                <w:rStyle w:val="Hyperlink.0"/>
                <w:sz w:val="22"/>
                <w:szCs w:val="22"/>
                <w:shd w:val="nil" w:color="auto" w:fill="auto"/>
                <w:rtl w:val="0"/>
                <w:lang w:val="pt-PT"/>
              </w:rPr>
              <w:t>https://pt.wikipedia.org/wiki/Ouro_Branco_(Minas_Gerais</w:t>
            </w:r>
            <w:r>
              <w:rPr>
                <w:sz w:val="22"/>
                <w:szCs w:val="22"/>
              </w:rPr>
              <w:fldChar w:fldCharType="end" w:fldLock="0"/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). Acesso 17-07-2015.</w:t>
            </w:r>
          </w:p>
        </w:tc>
      </w:tr>
    </w:tbl>
    <w:p>
      <w:pPr>
        <w:pStyle w:val="Corpo de texto 3"/>
        <w:widowControl w:val="0"/>
        <w:rPr>
          <w:b w:val="0"/>
          <w:bCs w:val="0"/>
          <w:lang w:val="pt-PT"/>
        </w:rPr>
      </w:pPr>
    </w:p>
    <w:p>
      <w:pPr>
        <w:pStyle w:val="Normal.0"/>
        <w:tabs>
          <w:tab w:val="left" w:pos="2145"/>
          <w:tab w:val="left" w:pos="3855"/>
        </w:tabs>
        <w:jc w:val="both"/>
      </w:pPr>
    </w:p>
    <w:p>
      <w:pPr>
        <w:pStyle w:val="Normal.0"/>
        <w:tabs>
          <w:tab w:val="left" w:pos="2145"/>
          <w:tab w:val="left" w:pos="3855"/>
        </w:tabs>
        <w:jc w:val="both"/>
      </w:pPr>
    </w:p>
    <w:p>
      <w:pPr>
        <w:pStyle w:val="Normal.0"/>
        <w:tabs>
          <w:tab w:val="left" w:pos="2145"/>
          <w:tab w:val="left" w:pos="3855"/>
        </w:tabs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2- METODOLOGIA</w:t>
      </w: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 </w:t>
      </w:r>
    </w:p>
    <w:p>
      <w:pPr>
        <w:pStyle w:val="Normal.0"/>
        <w:jc w:val="both"/>
      </w:pPr>
      <w:r>
        <w:rPr>
          <w:rStyle w:val="Número de página"/>
          <w:rtl w:val="0"/>
        </w:rPr>
        <w:tab/>
        <w:t>Para elabora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deste laudo foram utilizados os seguintes procedimentos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cnicos:</w:t>
      </w:r>
    </w:p>
    <w:p>
      <w:pPr>
        <w:pStyle w:val="Normal.0"/>
        <w:jc w:val="both"/>
      </w:pPr>
    </w:p>
    <w:p>
      <w:pPr>
        <w:pStyle w:val="Normal.0"/>
        <w:numPr>
          <w:ilvl w:val="0"/>
          <w:numId w:val="4"/>
        </w:numPr>
        <w:jc w:val="both"/>
        <w:rPr>
          <w:lang w:val="pt-PT"/>
        </w:rPr>
      </w:pPr>
      <w:r>
        <w:rPr>
          <w:rStyle w:val="Número de página"/>
          <w:rtl w:val="0"/>
          <w:lang w:val="pt-PT"/>
        </w:rPr>
        <w:t>Informa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 xml:space="preserve">es constantes do Procedimento de Apoio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Atividade Fim </w:t>
      </w:r>
      <w:r>
        <w:rPr>
          <w:rStyle w:val="Número de página"/>
          <w:rtl w:val="0"/>
          <w:lang w:val="pt-PT"/>
        </w:rPr>
        <w:t xml:space="preserve">– </w:t>
      </w:r>
      <w:r>
        <w:rPr>
          <w:rStyle w:val="Número de página"/>
          <w:rtl w:val="0"/>
          <w:lang w:val="pt-PT"/>
        </w:rPr>
        <w:t>PAAF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0024.14.015967-4</w:t>
      </w:r>
    </w:p>
    <w:p>
      <w:pPr>
        <w:pStyle w:val="Normal.0"/>
        <w:numPr>
          <w:ilvl w:val="0"/>
          <w:numId w:val="4"/>
        </w:numPr>
        <w:jc w:val="both"/>
        <w:rPr>
          <w:lang w:val="pt-PT"/>
        </w:rPr>
      </w:pPr>
      <w:r>
        <w:rPr>
          <w:rStyle w:val="Número de página"/>
          <w:rtl w:val="0"/>
          <w:lang w:val="pt-PT"/>
        </w:rPr>
        <w:t>Inspe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</w:t>
      </w:r>
      <w:r>
        <w:rPr>
          <w:i w:val="1"/>
          <w:iCs w:val="1"/>
          <w:rtl w:val="0"/>
          <w:lang w:val="pt-PT"/>
        </w:rPr>
        <w:t>in loco</w:t>
      </w:r>
      <w:r>
        <w:rPr>
          <w:rStyle w:val="Número de página"/>
          <w:rtl w:val="0"/>
          <w:lang w:val="pt-PT"/>
        </w:rPr>
        <w:t xml:space="preserve"> no local da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o,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margens do rio Garcia, Povoado de Itatiaia, com registro fotogr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fico.</w:t>
      </w:r>
    </w:p>
    <w:p>
      <w:pPr>
        <w:pStyle w:val="Normal.0"/>
        <w:jc w:val="both"/>
      </w:pPr>
    </w:p>
    <w:p>
      <w:pPr>
        <w:pStyle w:val="Normal.0"/>
        <w:jc w:val="both"/>
      </w:pPr>
    </w:p>
    <w:p>
      <w:pPr>
        <w:pStyle w:val="Normal.0"/>
      </w:pPr>
      <w:r>
        <w:rPr>
          <w:b w:val="1"/>
          <w:bCs w:val="1"/>
          <w:rtl w:val="0"/>
          <w:lang w:val="pt-PT"/>
        </w:rPr>
        <w:t>3-  BREVE HIST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RICO DE OURO BRANCO:</w:t>
      </w:r>
    </w:p>
    <w:p>
      <w:pPr>
        <w:pStyle w:val="Normal.0"/>
        <w:tabs>
          <w:tab w:val="left" w:pos="4935"/>
        </w:tabs>
        <w:ind w:left="360" w:firstLine="0"/>
        <w:jc w:val="both"/>
        <w:rPr>
          <w:b w:val="1"/>
          <w:bCs w:val="1"/>
        </w:rPr>
      </w:pPr>
      <w:r>
        <w:rPr>
          <w:b w:val="1"/>
          <w:bCs w:val="1"/>
        </w:rPr>
        <w:tab/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A origem do povoado de Santo Ant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de Ouro Branco est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diretamente relacionada ao movimento bandeirista, organizado pelos paulistas, que a partir de meados do s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culo XVII, iniciaram expedi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com o objetivo de encontrar riquezas minerais no territ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rio colonial. As bandeiras foram respons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veis pela descoberta de ouro e pedras preciosas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de Minas Gerais.</w:t>
        <w:tab/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Por volta de 1694, uma expedi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o, chefiada pelos ex-integrantes da bandeira de Borba Gato, Miguel Garcia de Almeida Cunha e Manuel Garcia, subiu o rio das Velhas, desbravando 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o, at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alcan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ar a Serra de Deus Livre</w:t>
      </w:r>
      <w:r>
        <w:rPr>
          <w:rStyle w:val="Caracteres de nota de rodapé"/>
        </w:rPr>
        <w:footnoteReference w:id="1"/>
      </w:r>
      <w:r>
        <w:rPr>
          <w:rStyle w:val="Número de página"/>
          <w:rtl w:val="0"/>
          <w:lang w:val="pt-PT"/>
        </w:rPr>
        <w:t xml:space="preserve"> que fazia parte do caminho do ouro.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Por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m, um desentendimento entre os l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deres causou uma divis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na expedi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o. Manuel Garcia seguiu na dire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nordeste, chegando ao c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rrego Tripu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, onde foi encontrado 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ouro preto</w:t>
      </w:r>
      <w:r>
        <w:rPr>
          <w:rStyle w:val="Número de página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>, cuja colora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indicava a presen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 xml:space="preserve">a de 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xido de ferro em sua composi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o. J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Miguel Garcia seguiu em dire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ao oeste, paralelamente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encosta da Serra de Deus Livre, onde foi descoberto ouro de cor amarela que, em oposi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ao ouro encontrado no c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rrego Tripu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, foi denominado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ouro branco</w:t>
      </w:r>
      <w:r>
        <w:rPr>
          <w:rStyle w:val="Número de página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>.  Foi fundado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o arraial de Santo Ant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do Ouro Branco, onde por volta de 1717 j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estava sendo edificada a primeira igreja.</w:t>
      </w:r>
      <w:r>
        <w:rPr>
          <w:rStyle w:val="Caracteres de nota de rodapé"/>
          <w:rtl w:val="0"/>
          <w:lang w:val="pt-PT"/>
        </w:rPr>
        <w:t xml:space="preserve"> </w:t>
      </w:r>
      <w:r>
        <w:rPr>
          <w:rStyle w:val="Caracteres de nota de rodapé"/>
        </w:rPr>
        <w:footnoteReference w:id="2"/>
      </w:r>
      <w:r>
        <w:rPr>
          <w:rStyle w:val="Número de página"/>
          <w:rtl w:val="0"/>
          <w:lang w:val="pt-PT"/>
        </w:rPr>
        <w:t xml:space="preserve">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 xml:space="preserve">Ouro Branco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 xml:space="preserve">uma das mais antigas freguesias de Minas, tendo sido elevada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condi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 colativa pelo alvar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de 16 de fevereiro de 1724, expedido pela Rainha Maria I, durante o governo de Louren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 de Almeida.</w:t>
      </w:r>
      <w:r>
        <w:rPr>
          <w:rStyle w:val="Caracteres de nota de rodapé"/>
        </w:rPr>
        <w:footnoteReference w:id="3"/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A quantidade de ouro extra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da de Ouro Branco foi infinitamente menor em rela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extra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aur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fera em Ouro Preto. Portanto, o arraial encontrou na agricultura e no com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rcio formas alternativas de desenvolvimento 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mico. A passagem das tropas vindas do Rio de Janeiro pela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fez dela um importante n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cleo comercial e de estadia.</w:t>
      </w:r>
    </w:p>
    <w:p>
      <w:pPr>
        <w:pStyle w:val="Normal.0"/>
        <w:jc w:val="both"/>
      </w:pPr>
      <w:r>
        <w:rPr>
          <w:rStyle w:val="Número de página"/>
          <w:rtl w:val="0"/>
        </w:rPr>
        <w:tab/>
        <w:t>Com o crescimento da circula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destas tropas, o caminho que levava at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Vila Rica viveu um per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odo de intenso desenvolvimento, chegando a abrigar quatorze hospedarias, numerosas casas comerciais e f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bricas de objetos artesanais consumidos pelos tropeiros. Este movimentado caminho possibilitou ainda o surgimento de fazendas, cuja produ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visava ao abastecimento das vilas mineradoras.</w:t>
        <w:tab/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Com a decad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da atividade mineradora, iniciou-se em Ouro Branco o chamado ciclo da uva. A partir do final do s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culo XIX o cultivo do caf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come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ou a ser desenvolvido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o, mas foi a produ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batata inglesa que abriu um novo ciclo 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mico para Ouro Branco durante o s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culo XX. Atualmente a cidade vive o chamado ciclo do 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o, em fun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atua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empresa 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ominas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o.</w:t>
      </w:r>
    </w:p>
    <w:p>
      <w:pPr>
        <w:pStyle w:val="Normal (Web)"/>
        <w:spacing w:before="0" w:after="0"/>
        <w:ind w:firstLine="708"/>
        <w:jc w:val="both"/>
      </w:pPr>
      <w:r>
        <w:rPr>
          <w:rFonts w:ascii="Times New Roman" w:hAnsi="Times New Roman"/>
          <w:rtl w:val="0"/>
          <w:lang w:val="pt-PT"/>
        </w:rPr>
        <w:t>A Lei Estadual n</w:t>
      </w:r>
      <w:r>
        <w:rPr>
          <w:rFonts w:ascii="Times New Roman" w:hAnsi="Times New Roman" w:hint="default"/>
          <w:rtl w:val="0"/>
          <w:lang w:val="pt-PT"/>
        </w:rPr>
        <w:t xml:space="preserve">º </w:t>
      </w:r>
      <w:r>
        <w:rPr>
          <w:rFonts w:ascii="Times New Roman" w:hAnsi="Times New Roman"/>
          <w:rtl w:val="0"/>
          <w:lang w:val="pt-PT"/>
        </w:rPr>
        <w:t>556 de 30 de agosto de 1911 estabeleceu que o povoado de Ouro Branco fizesse parte do munic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pio de Ouro Preto. A Lei Estadual n</w:t>
      </w:r>
      <w:r>
        <w:rPr>
          <w:rFonts w:ascii="Times New Roman" w:hAnsi="Times New Roman" w:hint="default"/>
          <w:rtl w:val="0"/>
          <w:lang w:val="pt-PT"/>
        </w:rPr>
        <w:t xml:space="preserve">º </w:t>
      </w:r>
      <w:r>
        <w:rPr>
          <w:rFonts w:ascii="Times New Roman" w:hAnsi="Times New Roman"/>
          <w:rtl w:val="0"/>
          <w:lang w:val="pt-PT"/>
        </w:rPr>
        <w:t xml:space="preserve">1039, de 12 dezembro de 1953, elevou Ouro Branco </w:t>
      </w:r>
      <w:r>
        <w:rPr>
          <w:rFonts w:ascii="Times New Roman" w:hAnsi="Times New Roman" w:hint="default"/>
          <w:rtl w:val="0"/>
          <w:lang w:val="pt-PT"/>
        </w:rPr>
        <w:t xml:space="preserve">à </w:t>
      </w:r>
      <w:r>
        <w:rPr>
          <w:rFonts w:ascii="Times New Roman" w:hAnsi="Times New Roman"/>
          <w:rtl w:val="0"/>
          <w:lang w:val="pt-PT"/>
        </w:rPr>
        <w:t>categoria de munic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pio, desmembrando-se assim de Ouro Preto.</w:t>
      </w:r>
      <w:r>
        <w:rPr>
          <w:rFonts w:ascii="Times New Roman" w:cs="Times New Roman" w:hAnsi="Times New Roman" w:eastAsia="Times New Roman"/>
          <w:vertAlign w:val="superscript"/>
        </w:rPr>
        <w:footnoteReference w:id="4"/>
      </w:r>
    </w:p>
    <w:p>
      <w:pPr>
        <w:pStyle w:val="Corpo de texto 3"/>
        <w:rPr>
          <w:b w:val="0"/>
          <w:bCs w:val="0"/>
          <w:lang w:val="pt-PT"/>
        </w:rPr>
      </w:pPr>
      <w:r>
        <w:rPr>
          <w:lang w:val="pt-PT"/>
        </w:rPr>
        <w:tab/>
      </w:r>
      <w:r>
        <w:rPr>
          <w:b w:val="0"/>
          <w:bCs w:val="0"/>
          <w:rtl w:val="0"/>
          <w:lang w:val="pt-PT"/>
        </w:rPr>
        <w:t>O povoado de Itatiaia surgiu na primeira metade do s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 xml:space="preserve">culo XVIII, relacionada </w:t>
      </w:r>
      <w:r>
        <w:rPr>
          <w:b w:val="0"/>
          <w:bCs w:val="0"/>
          <w:rtl w:val="0"/>
          <w:lang w:val="pt-PT"/>
        </w:rPr>
        <w:t xml:space="preserve">à </w:t>
      </w:r>
      <w:r>
        <w:rPr>
          <w:b w:val="0"/>
          <w:bCs w:val="0"/>
          <w:rtl w:val="0"/>
          <w:lang w:val="pt-PT"/>
        </w:rPr>
        <w:t>atividade mineradora. A denomina</w:t>
      </w:r>
      <w:r>
        <w:rPr>
          <w:b w:val="0"/>
          <w:bCs w:val="0"/>
          <w:rtl w:val="0"/>
          <w:lang w:val="pt-PT"/>
        </w:rPr>
        <w:t>çã</w:t>
      </w:r>
      <w:r>
        <w:rPr>
          <w:b w:val="0"/>
          <w:bCs w:val="0"/>
          <w:rtl w:val="0"/>
          <w:lang w:val="pt-PT"/>
        </w:rPr>
        <w:t xml:space="preserve">o Itatiaia </w:t>
      </w:r>
      <w:r>
        <w:rPr>
          <w:b w:val="0"/>
          <w:bCs w:val="0"/>
          <w:rtl w:val="0"/>
          <w:lang w:val="pt-PT"/>
        </w:rPr>
        <w:t xml:space="preserve">é </w:t>
      </w:r>
      <w:r>
        <w:rPr>
          <w:b w:val="0"/>
          <w:bCs w:val="0"/>
          <w:rtl w:val="0"/>
          <w:lang w:val="pt-PT"/>
        </w:rPr>
        <w:t>de origem tupi e significa pedra endentada ou serra eri</w:t>
      </w:r>
      <w:r>
        <w:rPr>
          <w:b w:val="0"/>
          <w:bCs w:val="0"/>
          <w:rtl w:val="0"/>
          <w:lang w:val="pt-PT"/>
        </w:rPr>
        <w:t>ç</w:t>
      </w:r>
      <w:r>
        <w:rPr>
          <w:b w:val="0"/>
          <w:bCs w:val="0"/>
          <w:rtl w:val="0"/>
          <w:lang w:val="pt-PT"/>
        </w:rPr>
        <w:t>ada de pontos.</w:t>
      </w:r>
    </w:p>
    <w:p>
      <w:pPr>
        <w:pStyle w:val="Corpo de texto 3"/>
        <w:rPr>
          <w:b w:val="0"/>
          <w:bCs w:val="0"/>
          <w:lang w:val="pt-PT"/>
        </w:rPr>
      </w:pPr>
      <w:r>
        <w:rPr>
          <w:b w:val="0"/>
          <w:bCs w:val="0"/>
          <w:rtl w:val="0"/>
          <w:lang w:val="pt-PT"/>
        </w:rPr>
        <w:tab/>
        <w:t xml:space="preserve">A Igreja Matriz de Itatiaia </w:t>
      </w:r>
      <w:r>
        <w:rPr>
          <w:b w:val="0"/>
          <w:bCs w:val="0"/>
          <w:rtl w:val="0"/>
          <w:lang w:val="pt-PT"/>
        </w:rPr>
        <w:t xml:space="preserve">é </w:t>
      </w:r>
      <w:r>
        <w:rPr>
          <w:b w:val="0"/>
          <w:bCs w:val="0"/>
          <w:rtl w:val="0"/>
          <w:lang w:val="pt-PT"/>
        </w:rPr>
        <w:t>dedicada a Santo Ant</w:t>
      </w:r>
      <w:r>
        <w:rPr>
          <w:b w:val="0"/>
          <w:bCs w:val="0"/>
          <w:rtl w:val="0"/>
          <w:lang w:val="pt-PT"/>
        </w:rPr>
        <w:t>ô</w:t>
      </w:r>
      <w:r>
        <w:rPr>
          <w:b w:val="0"/>
          <w:bCs w:val="0"/>
          <w:rtl w:val="0"/>
          <w:lang w:val="pt-PT"/>
        </w:rPr>
        <w:t xml:space="preserve">nio e apresenta como registro mais antigo a folha de rosto de um livro de assentamento de batizados, casamentos e </w:t>
      </w:r>
      <w:r>
        <w:rPr>
          <w:b w:val="0"/>
          <w:bCs w:val="0"/>
          <w:rtl w:val="0"/>
          <w:lang w:val="pt-PT"/>
        </w:rPr>
        <w:t>ó</w:t>
      </w:r>
      <w:r>
        <w:rPr>
          <w:b w:val="0"/>
          <w:bCs w:val="0"/>
          <w:rtl w:val="0"/>
          <w:lang w:val="pt-PT"/>
        </w:rPr>
        <w:t xml:space="preserve">bitos, datado de 1714. </w:t>
      </w:r>
    </w:p>
    <w:p>
      <w:pPr>
        <w:pStyle w:val="Corpo de texto 3"/>
        <w:rPr>
          <w:b w:val="0"/>
          <w:bCs w:val="0"/>
          <w:lang w:val="pt-PT"/>
        </w:rPr>
      </w:pPr>
      <w:r>
        <w:rPr>
          <w:b w:val="0"/>
          <w:bCs w:val="0"/>
          <w:rtl w:val="0"/>
          <w:lang w:val="pt-PT"/>
        </w:rPr>
        <w:tab/>
        <w:t>Um alvar</w:t>
      </w:r>
      <w:r>
        <w:rPr>
          <w:b w:val="0"/>
          <w:bCs w:val="0"/>
          <w:rtl w:val="0"/>
          <w:lang w:val="pt-PT"/>
        </w:rPr>
        <w:t xml:space="preserve">á </w:t>
      </w:r>
      <w:r>
        <w:rPr>
          <w:b w:val="0"/>
          <w:bCs w:val="0"/>
          <w:rtl w:val="0"/>
          <w:lang w:val="pt-PT"/>
        </w:rPr>
        <w:t xml:space="preserve">de 16 de janeiro de 1752 elevou a Freguesia </w:t>
      </w:r>
      <w:r>
        <w:rPr>
          <w:b w:val="0"/>
          <w:bCs w:val="0"/>
          <w:rtl w:val="0"/>
          <w:lang w:val="pt-PT"/>
        </w:rPr>
        <w:t xml:space="preserve">à </w:t>
      </w:r>
      <w:r>
        <w:rPr>
          <w:b w:val="0"/>
          <w:bCs w:val="0"/>
          <w:rtl w:val="0"/>
          <w:lang w:val="pt-PT"/>
        </w:rPr>
        <w:t>condi</w:t>
      </w:r>
      <w:r>
        <w:rPr>
          <w:b w:val="0"/>
          <w:bCs w:val="0"/>
          <w:rtl w:val="0"/>
          <w:lang w:val="pt-PT"/>
        </w:rPr>
        <w:t>çã</w:t>
      </w:r>
      <w:r>
        <w:rPr>
          <w:b w:val="0"/>
          <w:bCs w:val="0"/>
          <w:rtl w:val="0"/>
          <w:lang w:val="pt-PT"/>
        </w:rPr>
        <w:t>o de Colativa. Por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>m, a diminui</w:t>
      </w:r>
      <w:r>
        <w:rPr>
          <w:b w:val="0"/>
          <w:bCs w:val="0"/>
          <w:rtl w:val="0"/>
          <w:lang w:val="pt-PT"/>
        </w:rPr>
        <w:t>çã</w:t>
      </w:r>
      <w:r>
        <w:rPr>
          <w:b w:val="0"/>
          <w:bCs w:val="0"/>
          <w:rtl w:val="0"/>
          <w:lang w:val="pt-PT"/>
        </w:rPr>
        <w:t>o populacional ocasionada pela decad</w:t>
      </w:r>
      <w:r>
        <w:rPr>
          <w:b w:val="0"/>
          <w:bCs w:val="0"/>
          <w:rtl w:val="0"/>
          <w:lang w:val="pt-PT"/>
        </w:rPr>
        <w:t>ê</w:t>
      </w:r>
      <w:r>
        <w:rPr>
          <w:b w:val="0"/>
          <w:bCs w:val="0"/>
          <w:rtl w:val="0"/>
          <w:lang w:val="pt-PT"/>
        </w:rPr>
        <w:t>ncia da minera</w:t>
      </w:r>
      <w:r>
        <w:rPr>
          <w:b w:val="0"/>
          <w:bCs w:val="0"/>
          <w:rtl w:val="0"/>
          <w:lang w:val="pt-PT"/>
        </w:rPr>
        <w:t>çã</w:t>
      </w:r>
      <w:r>
        <w:rPr>
          <w:b w:val="0"/>
          <w:bCs w:val="0"/>
          <w:rtl w:val="0"/>
          <w:lang w:val="pt-PT"/>
        </w:rPr>
        <w:t>o fez com que em 14 de julho de 1832, o t</w:t>
      </w:r>
      <w:r>
        <w:rPr>
          <w:b w:val="0"/>
          <w:bCs w:val="0"/>
          <w:rtl w:val="0"/>
          <w:lang w:val="pt-PT"/>
        </w:rPr>
        <w:t>í</w:t>
      </w:r>
      <w:r>
        <w:rPr>
          <w:b w:val="0"/>
          <w:bCs w:val="0"/>
          <w:rtl w:val="0"/>
          <w:lang w:val="pt-PT"/>
        </w:rPr>
        <w:t>tulo fosse retirado atrav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>s de um decreto. A Matriz de Santo Ant</w:t>
      </w:r>
      <w:r>
        <w:rPr>
          <w:b w:val="0"/>
          <w:bCs w:val="0"/>
          <w:rtl w:val="0"/>
          <w:lang w:val="pt-PT"/>
        </w:rPr>
        <w:t>ô</w:t>
      </w:r>
      <w:r>
        <w:rPr>
          <w:b w:val="0"/>
          <w:bCs w:val="0"/>
          <w:rtl w:val="0"/>
          <w:lang w:val="pt-PT"/>
        </w:rPr>
        <w:t xml:space="preserve">nio foi anexada </w:t>
      </w:r>
      <w:r>
        <w:rPr>
          <w:b w:val="0"/>
          <w:bCs w:val="0"/>
          <w:rtl w:val="0"/>
          <w:lang w:val="pt-PT"/>
        </w:rPr>
        <w:t xml:space="preserve">à </w:t>
      </w:r>
      <w:r>
        <w:rPr>
          <w:b w:val="0"/>
          <w:bCs w:val="0"/>
          <w:rtl w:val="0"/>
          <w:lang w:val="pt-PT"/>
        </w:rPr>
        <w:t>Matriz de Ouro Branco.</w:t>
      </w:r>
    </w:p>
    <w:p>
      <w:pPr>
        <w:pStyle w:val="Corpo de texto 3"/>
        <w:rPr>
          <w:b w:val="0"/>
          <w:bCs w:val="0"/>
          <w:lang w:val="pt-PT"/>
        </w:rPr>
      </w:pPr>
      <w:r>
        <w:rPr>
          <w:b w:val="0"/>
          <w:bCs w:val="0"/>
          <w:rtl w:val="0"/>
          <w:lang w:val="pt-PT"/>
        </w:rPr>
        <w:tab/>
        <w:t>Pela Lei n</w:t>
      </w:r>
      <w:r>
        <w:rPr>
          <w:b w:val="0"/>
          <w:bCs w:val="0"/>
          <w:rtl w:val="0"/>
          <w:lang w:val="pt-PT"/>
        </w:rPr>
        <w:t xml:space="preserve">º </w:t>
      </w:r>
      <w:r>
        <w:rPr>
          <w:b w:val="0"/>
          <w:bCs w:val="0"/>
          <w:rtl w:val="0"/>
          <w:lang w:val="pt-PT"/>
        </w:rPr>
        <w:t>138, de 03 de abril de 1839, o t</w:t>
      </w:r>
      <w:r>
        <w:rPr>
          <w:b w:val="0"/>
          <w:bCs w:val="0"/>
          <w:rtl w:val="0"/>
          <w:lang w:val="pt-PT"/>
        </w:rPr>
        <w:t>í</w:t>
      </w:r>
      <w:r>
        <w:rPr>
          <w:b w:val="0"/>
          <w:bCs w:val="0"/>
          <w:rtl w:val="0"/>
          <w:lang w:val="pt-PT"/>
        </w:rPr>
        <w:t>tulo de Par</w:t>
      </w:r>
      <w:r>
        <w:rPr>
          <w:b w:val="0"/>
          <w:bCs w:val="0"/>
          <w:rtl w:val="0"/>
          <w:lang w:val="pt-PT"/>
        </w:rPr>
        <w:t>ó</w:t>
      </w:r>
      <w:r>
        <w:rPr>
          <w:b w:val="0"/>
          <w:bCs w:val="0"/>
          <w:rtl w:val="0"/>
          <w:lang w:val="pt-PT"/>
        </w:rPr>
        <w:t>quia foi restitu</w:t>
      </w:r>
      <w:r>
        <w:rPr>
          <w:b w:val="0"/>
          <w:bCs w:val="0"/>
          <w:rtl w:val="0"/>
          <w:lang w:val="pt-PT"/>
        </w:rPr>
        <w:t>í</w:t>
      </w:r>
      <w:r>
        <w:rPr>
          <w:b w:val="0"/>
          <w:bCs w:val="0"/>
          <w:rtl w:val="0"/>
          <w:lang w:val="pt-PT"/>
        </w:rPr>
        <w:t xml:space="preserve">do </w:t>
      </w:r>
      <w:r>
        <w:rPr>
          <w:b w:val="0"/>
          <w:bCs w:val="0"/>
          <w:rtl w:val="0"/>
          <w:lang w:val="pt-PT"/>
        </w:rPr>
        <w:t xml:space="preserve">à </w:t>
      </w:r>
      <w:r>
        <w:rPr>
          <w:b w:val="0"/>
          <w:bCs w:val="0"/>
          <w:rtl w:val="0"/>
          <w:lang w:val="pt-PT"/>
        </w:rPr>
        <w:t>localidade que passou a denominar-se Santo Ant</w:t>
      </w:r>
      <w:r>
        <w:rPr>
          <w:b w:val="0"/>
          <w:bCs w:val="0"/>
          <w:rtl w:val="0"/>
          <w:lang w:val="pt-PT"/>
        </w:rPr>
        <w:t>ô</w:t>
      </w:r>
      <w:r>
        <w:rPr>
          <w:b w:val="0"/>
          <w:bCs w:val="0"/>
          <w:rtl w:val="0"/>
          <w:lang w:val="pt-PT"/>
        </w:rPr>
        <w:t>nio do Itatiaia. Em 1844, o Povoadoe a Freguesia s</w:t>
      </w:r>
      <w:r>
        <w:rPr>
          <w:b w:val="0"/>
          <w:bCs w:val="0"/>
          <w:rtl w:val="0"/>
          <w:lang w:val="pt-PT"/>
        </w:rPr>
        <w:t>ã</w:t>
      </w:r>
      <w:r>
        <w:rPr>
          <w:b w:val="0"/>
          <w:bCs w:val="0"/>
          <w:rtl w:val="0"/>
          <w:lang w:val="pt-PT"/>
        </w:rPr>
        <w:t>o definitivamente suprimidos pela Lei n</w:t>
      </w:r>
      <w:r>
        <w:rPr>
          <w:b w:val="0"/>
          <w:bCs w:val="0"/>
          <w:rtl w:val="0"/>
          <w:lang w:val="pt-PT"/>
        </w:rPr>
        <w:t xml:space="preserve">º </w:t>
      </w:r>
      <w:r>
        <w:rPr>
          <w:b w:val="0"/>
          <w:bCs w:val="0"/>
          <w:rtl w:val="0"/>
          <w:lang w:val="pt-PT"/>
        </w:rPr>
        <w:t xml:space="preserve">271. </w:t>
      </w:r>
    </w:p>
    <w:p>
      <w:pPr>
        <w:pStyle w:val="Corpo de texto 3"/>
        <w:rPr>
          <w:b w:val="0"/>
          <w:bCs w:val="0"/>
          <w:lang w:val="pt-PT"/>
        </w:rPr>
      </w:pPr>
      <w:r>
        <w:rPr>
          <w:b w:val="0"/>
          <w:bCs w:val="0"/>
          <w:rtl w:val="0"/>
          <w:lang w:val="pt-PT"/>
        </w:rPr>
        <w:tab/>
        <w:t xml:space="preserve">Atualmente, Itatiaia </w:t>
      </w:r>
      <w:r>
        <w:rPr>
          <w:b w:val="0"/>
          <w:bCs w:val="0"/>
          <w:rtl w:val="0"/>
          <w:lang w:val="pt-PT"/>
        </w:rPr>
        <w:t xml:space="preserve">é </w:t>
      </w:r>
      <w:r>
        <w:rPr>
          <w:b w:val="0"/>
          <w:bCs w:val="0"/>
          <w:rtl w:val="0"/>
          <w:lang w:val="pt-PT"/>
        </w:rPr>
        <w:t>um povoado do munic</w:t>
      </w:r>
      <w:r>
        <w:rPr>
          <w:b w:val="0"/>
          <w:bCs w:val="0"/>
          <w:rtl w:val="0"/>
          <w:lang w:val="pt-PT"/>
        </w:rPr>
        <w:t>í</w:t>
      </w:r>
      <w:r>
        <w:rPr>
          <w:b w:val="0"/>
          <w:bCs w:val="0"/>
          <w:rtl w:val="0"/>
          <w:lang w:val="pt-PT"/>
        </w:rPr>
        <w:t xml:space="preserve">pio de Ouro Branco. </w:t>
      </w:r>
    </w:p>
    <w:p>
      <w:pPr>
        <w:pStyle w:val="Corpo de texto 3"/>
        <w:rPr>
          <w:b w:val="0"/>
          <w:bCs w:val="0"/>
          <w:lang w:val="pt-PT"/>
        </w:rPr>
      </w:pPr>
    </w:p>
    <w:tbl>
      <w:tblPr>
        <w:tblW w:w="888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8880"/>
      </w:tblGrid>
      <w:tr>
        <w:tblPrEx>
          <w:shd w:val="clear" w:color="auto" w:fill="ced7e7"/>
        </w:tblPrEx>
        <w:trPr>
          <w:trHeight w:val="4950" w:hRule="atLeast"/>
        </w:trPr>
        <w:tc>
          <w:tcPr>
            <w:tcW w:type="dxa" w:w="8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o de texto 3"/>
              <w:jc w:val="center"/>
            </w:pPr>
            <w:r>
              <w:drawing xmlns:a="http://schemas.openxmlformats.org/drawingml/2006/main">
                <wp:inline distT="0" distB="0" distL="0" distR="0">
                  <wp:extent cx="4199707" cy="3104157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9707" cy="31041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8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Figura 02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Vista parcial do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Povoado de Itatiaia. Fonte: </w:t>
            </w:r>
            <w:r>
              <w:rPr>
                <w:rStyle w:val="Hyperlink.1"/>
                <w:sz w:val="22"/>
                <w:szCs w:val="22"/>
                <w:shd w:val="nil" w:color="auto" w:fill="auto"/>
                <w:lang w:val="pt-PT"/>
              </w:rPr>
              <w:fldChar w:fldCharType="begin" w:fldLock="0"/>
            </w:r>
            <w:r>
              <w:rPr>
                <w:rStyle w:val="Hyperlink.1"/>
                <w:sz w:val="22"/>
                <w:szCs w:val="22"/>
                <w:shd w:val="nil" w:color="auto" w:fill="auto"/>
                <w:lang w:val="pt-PT"/>
              </w:rPr>
              <w:instrText xml:space="preserve"> HYPERLINK "http://www.ourobranco.mg.gov.br/Materia_especifica/27941/Turismo"</w:instrText>
            </w:r>
            <w:r>
              <w:rPr>
                <w:rStyle w:val="Hyperlink.1"/>
                <w:sz w:val="22"/>
                <w:szCs w:val="22"/>
                <w:shd w:val="nil" w:color="auto" w:fill="auto"/>
                <w:lang w:val="pt-PT"/>
              </w:rPr>
              <w:fldChar w:fldCharType="separate" w:fldLock="0"/>
            </w:r>
            <w:r>
              <w:rPr>
                <w:rStyle w:val="Hyperlink.1"/>
                <w:sz w:val="22"/>
                <w:szCs w:val="22"/>
                <w:shd w:val="nil" w:color="auto" w:fill="auto"/>
                <w:rtl w:val="0"/>
                <w:lang w:val="pt-PT"/>
              </w:rPr>
              <w:t>http://www.ourobranco.mg.gov.br/Materia_especifica/27941/Turismo</w:t>
            </w:r>
            <w:r>
              <w:rPr/>
              <w:fldChar w:fldCharType="end" w:fldLock="0"/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. Acesso 16-07-2015.</w:t>
            </w:r>
          </w:p>
        </w:tc>
      </w:tr>
    </w:tbl>
    <w:p>
      <w:pPr>
        <w:pStyle w:val="Corpo de texto 3"/>
        <w:widowControl w:val="0"/>
        <w:rPr>
          <w:b w:val="0"/>
          <w:bCs w:val="0"/>
          <w:lang w:val="pt-PT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4- CONTEXTUALIZA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</w:t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Em 24 de setembro de 2014, esta Promotoria recebeu den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ncia relativa a uma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que estaria sendo feita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margens do rio Garcia, respons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vel pelo abastecimento de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gua do  Distrito de Itatiaia, em Ouro Branco.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Segundo a den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ncia, a obra estaria caracterizada por v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rias irregularidades no </w:t>
      </w:r>
      <w:r>
        <w:rPr>
          <w:rStyle w:val="Número de página"/>
          <w:rtl w:val="0"/>
          <w:lang w:val="pt-PT"/>
        </w:rPr>
        <w:t>â</w:t>
      </w:r>
      <w:r>
        <w:rPr>
          <w:rStyle w:val="Número de página"/>
          <w:rtl w:val="0"/>
          <w:lang w:val="pt-PT"/>
        </w:rPr>
        <w:t>mbito ambiental e patrimonial. Al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m do desmatamento de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Mata Atl</w:t>
      </w:r>
      <w:r>
        <w:rPr>
          <w:rStyle w:val="Número de página"/>
          <w:rtl w:val="0"/>
          <w:lang w:val="pt-PT"/>
        </w:rPr>
        <w:t>â</w:t>
      </w:r>
      <w:r>
        <w:rPr>
          <w:rStyle w:val="Número de página"/>
          <w:rtl w:val="0"/>
          <w:lang w:val="pt-PT"/>
        </w:rPr>
        <w:t>ntica, 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estaria ocorrendo em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APP e de amortecimento do Parque Estadual Serra de Ouro Branco. Dois 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tios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ricos estariam sendo afetados pela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o, inclusive, com 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roubo de pedras</w:t>
      </w:r>
      <w:r>
        <w:rPr>
          <w:rStyle w:val="Número de página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 xml:space="preserve">. Nas proximidades da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haveria um moinho de pedra e outras ocorr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ncias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gicas que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eram tombadas.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A Pol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cia de Meio Ambiente de Conselheiro Lafaiete esteve no local da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e emitiu o Boletim de Ocorr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M2815-2014-0202335, datado de 10 de outubro de 2014. Os policiais relataram que compareceram na vila de Itatiaia, na propriedade da sr</w:t>
      </w:r>
      <w:r>
        <w:rPr>
          <w:rStyle w:val="Número de página"/>
          <w:rtl w:val="0"/>
          <w:lang w:val="pt-PT"/>
        </w:rPr>
        <w:t>ª</w:t>
      </w:r>
      <w:r>
        <w:rPr>
          <w:rStyle w:val="Número de página"/>
          <w:rtl w:val="0"/>
          <w:lang w:val="pt-PT"/>
        </w:rPr>
        <w:t>. Emanuelle Coelho de Paula, onde constataram uma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em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permanente (a menos de 30 metros de curso d</w:t>
      </w:r>
      <w:r>
        <w:rPr>
          <w:rStyle w:val="Número de página"/>
          <w:rtl w:val="0"/>
          <w:lang w:val="pt-PT"/>
        </w:rPr>
        <w:t>´á</w:t>
      </w:r>
      <w:r>
        <w:rPr>
          <w:rStyle w:val="Número de página"/>
          <w:rtl w:val="0"/>
          <w:lang w:val="pt-PT"/>
        </w:rPr>
        <w:t xml:space="preserve">gua e 50 metros de nascente) mediante corte de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rvores e supress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de vegeta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rasteira em uma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1.000 m</w:t>
      </w:r>
      <w:r>
        <w:rPr>
          <w:rStyle w:val="Número de página"/>
          <w:rtl w:val="0"/>
          <w:lang w:val="pt-PT"/>
        </w:rPr>
        <w:t>²</w:t>
      </w:r>
      <w:r>
        <w:rPr>
          <w:rStyle w:val="Número de página"/>
          <w:rtl w:val="0"/>
          <w:lang w:val="pt-PT"/>
        </w:rPr>
        <w:t>.  A sr</w:t>
      </w:r>
      <w:r>
        <w:rPr>
          <w:rStyle w:val="Número de página"/>
          <w:rtl w:val="0"/>
          <w:lang w:val="pt-PT"/>
        </w:rPr>
        <w:t>ª</w:t>
      </w:r>
      <w:r>
        <w:rPr>
          <w:rStyle w:val="Número de página"/>
          <w:rtl w:val="0"/>
          <w:lang w:val="pt-PT"/>
        </w:rPr>
        <w:t>. Emanuelle Coelho informou que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possu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a autoriza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do 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rg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ambiental competente para realizar as interven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es. Portanto, foi autuada, por meio do Ato de Infra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210229, no valor de R$ 1.310,21, ficando as atividades suspensas at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a regulariza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junto aos 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rg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os ambientais. Ressaltou-se que o local da infra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estava localizado no entorno do Monumento Natural Serra de Itatiaia.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Foram encaminhadas a esta Promotoria algumas fotos da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realizada no Distrito de Itatiaia:</w:t>
      </w:r>
    </w:p>
    <w:p>
      <w:pPr>
        <w:pStyle w:val="Normal.0"/>
        <w:ind w:firstLine="708"/>
        <w:jc w:val="both"/>
      </w:pPr>
    </w:p>
    <w:tbl>
      <w:tblPr>
        <w:tblW w:w="888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560"/>
        <w:gridCol w:w="4320"/>
      </w:tblGrid>
      <w:tr>
        <w:tblPrEx>
          <w:shd w:val="clear" w:color="auto" w:fill="ced7e7"/>
        </w:tblPrEx>
        <w:trPr>
          <w:trHeight w:val="4377" w:hRule="atLeast"/>
        </w:trPr>
        <w:tc>
          <w:tcPr>
            <w:tcW w:type="dxa" w:w="45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drawing xmlns:a="http://schemas.openxmlformats.org/drawingml/2006/main">
                <wp:inline distT="0" distB="0" distL="0" distR="0">
                  <wp:extent cx="2717995" cy="2739899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95" cy="273989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drawing xmlns:a="http://schemas.openxmlformats.org/drawingml/2006/main">
                <wp:inline distT="0" distB="0" distL="0" distR="0">
                  <wp:extent cx="2601489" cy="2614334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89" cy="26143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6350" w:hRule="atLeast"/>
        </w:trPr>
        <w:tc>
          <w:tcPr>
            <w:tcW w:type="dxa" w:w="888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drawing xmlns:a="http://schemas.openxmlformats.org/drawingml/2006/main">
                <wp:inline distT="0" distB="0" distL="0" distR="0">
                  <wp:extent cx="5461586" cy="3992952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586" cy="39929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888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03, 04 e 05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Imagens das interven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çõ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es realizadas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Garcia, no Povoado de Itatiaia, munic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pio de Ouro Branco.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Corpo de texto 3"/>
        <w:rPr>
          <w:rStyle w:val="Número de página"/>
          <w:lang w:val="pt-PT"/>
        </w:rPr>
      </w:pPr>
    </w:p>
    <w:p>
      <w:pPr>
        <w:pStyle w:val="Corpo de texto 3"/>
        <w:rPr>
          <w:lang w:val="pt-PT"/>
        </w:rPr>
      </w:pPr>
      <w:r>
        <w:rPr>
          <w:rtl w:val="0"/>
          <w:lang w:val="pt-PT"/>
        </w:rPr>
        <w:t>5-  AN</w:t>
      </w:r>
      <w:r>
        <w:rPr>
          <w:rtl w:val="0"/>
          <w:lang w:val="pt-PT"/>
        </w:rPr>
        <w:t>Á</w:t>
      </w:r>
      <w:r>
        <w:rPr>
          <w:rtl w:val="0"/>
          <w:lang w:val="pt-PT"/>
        </w:rPr>
        <w:t>LISE T</w:t>
      </w:r>
      <w:r>
        <w:rPr>
          <w:rtl w:val="0"/>
          <w:lang w:val="pt-PT"/>
        </w:rPr>
        <w:t>É</w:t>
      </w:r>
      <w:r>
        <w:rPr>
          <w:rtl w:val="0"/>
          <w:lang w:val="pt-PT"/>
        </w:rPr>
        <w:t>CNICA</w:t>
      </w:r>
    </w:p>
    <w:p>
      <w:pPr>
        <w:pStyle w:val="Normal.0"/>
        <w:ind w:left="360" w:firstLine="0"/>
        <w:jc w:val="both"/>
        <w:rPr>
          <w:b w:val="1"/>
          <w:bCs w:val="1"/>
        </w:rPr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O Conjunto Paisag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 da Serra do Ouro Branco foi tombado em n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vel estadual pelo Decreto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 xml:space="preserve">19.530, de 07 de novembro de 1978.  </w:t>
      </w: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>Em 21 de setembro de 2009, por meio do Decreto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45.180, foi criado o Parque Estadual da Serra de Ouro Branco, unidade de conserva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integral, abrangendo os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pios de Ouro Branco e Ouro Preto. </w:t>
      </w: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 xml:space="preserve">O Parque Estadual da Serra do Ouro Branco tem a seu limite Norte, coincidindo com o limite do Monumento Natural Estadual de Itatiaia </w:t>
      </w:r>
      <w:r>
        <w:rPr>
          <w:rStyle w:val="Número de página"/>
          <w:rtl w:val="0"/>
          <w:lang w:val="pt-PT"/>
        </w:rPr>
        <w:t xml:space="preserve">– </w:t>
      </w:r>
      <w:r>
        <w:rPr>
          <w:rStyle w:val="Número de página"/>
          <w:rtl w:val="0"/>
          <w:lang w:val="pt-PT"/>
        </w:rPr>
        <w:t>Unidade de Conserva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Estadual de responsabilidade do IEF,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criada em 21 de setembro de 2009, por meio do Decreto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45.179</w:t>
      </w:r>
      <w:r>
        <w:rPr>
          <w:rStyle w:val="Caracteres de nota de rodapé"/>
          <w:rtl w:val="0"/>
          <w:lang w:val="pt-PT"/>
        </w:rPr>
        <w:t xml:space="preserve"> </w:t>
      </w:r>
      <w:r>
        <w:rPr>
          <w:rStyle w:val="Caracteres de nota de rodapé"/>
        </w:rPr>
        <w:footnoteReference w:id="5"/>
      </w:r>
      <w:r>
        <w:rPr>
          <w:rStyle w:val="Número de página"/>
          <w:rtl w:val="0"/>
          <w:lang w:val="pt-PT"/>
        </w:rPr>
        <w:t>.</w:t>
      </w: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>Isso significa que, dada a relev</w:t>
      </w:r>
      <w:r>
        <w:rPr>
          <w:rStyle w:val="Número de página"/>
          <w:rtl w:val="0"/>
          <w:lang w:val="pt-PT"/>
        </w:rPr>
        <w:t>â</w:t>
      </w:r>
      <w:r>
        <w:rPr>
          <w:rStyle w:val="Número de página"/>
          <w:rtl w:val="0"/>
          <w:lang w:val="pt-PT"/>
        </w:rPr>
        <w:t>ncia natural e cultural da Serra de Ouro Branco,  diferentes instrumentos de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se sobrep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em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visando a sua salvaguarda.  </w:t>
        <w:tab/>
      </w:r>
    </w:p>
    <w:tbl>
      <w:tblPr>
        <w:tblW w:w="8928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8928"/>
      </w:tblGrid>
      <w:tr>
        <w:tblPrEx>
          <w:shd w:val="clear" w:color="auto" w:fill="ced7e7"/>
        </w:tblPrEx>
        <w:trPr>
          <w:trHeight w:val="6153" w:hRule="atLeast"/>
        </w:trPr>
        <w:tc>
          <w:tcPr>
            <w:tcW w:type="dxa" w:w="89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drawing xmlns:a="http://schemas.openxmlformats.org/drawingml/2006/main">
                <wp:inline distT="0" distB="0" distL="0" distR="0">
                  <wp:extent cx="5461620" cy="3867966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620" cy="38679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1" w:hRule="atLeast"/>
        </w:trPr>
        <w:tc>
          <w:tcPr>
            <w:tcW w:type="dxa" w:w="89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06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Imagem com os limites das Unidades de Conserva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Parque Estadual da Serra do Ouro Branco (verde) e Monumento Natural Estadual de Itatiaia (vermelho). Fonte: Documenta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fornecida pelo IEF- Ouro Branco</w:t>
            </w:r>
          </w:p>
        </w:tc>
      </w:tr>
    </w:tbl>
    <w:p>
      <w:pPr>
        <w:pStyle w:val="Normal.0"/>
        <w:widowControl w:val="0"/>
        <w:jc w:val="both"/>
        <w:rPr>
          <w:rStyle w:val="Número de página"/>
        </w:rPr>
      </w:pPr>
    </w:p>
    <w:p>
      <w:pPr>
        <w:pStyle w:val="Normal.0"/>
        <w:jc w:val="both"/>
        <w:rPr>
          <w:rStyle w:val="Número de página"/>
        </w:rPr>
      </w:pPr>
    </w:p>
    <w:p>
      <w:pPr>
        <w:pStyle w:val="Normal.0"/>
        <w:jc w:val="both"/>
        <w:rPr>
          <w:rStyle w:val="Número de página"/>
        </w:rPr>
      </w:pP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>Com a realiza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vistoria no Distrito de Itatiaia, verificou-se que, mesmo contando com diversos instrumentos legais que estabelecem sua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o, ainda ocorrem na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interven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que amea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am a integridade de seu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natural e cultural.</w:t>
      </w: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>Na trilha que d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 xml:space="preserve">acesso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margens do rio Garcia verificou-se ac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mulo de pedras, indicativo da execu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obras no local, onde foi poss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vel identificar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tentativa recente de alargamento da trilha  que d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 xml:space="preserve">acesso ao referido rio.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De acordo com o Boletim de Ocorr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ncia, lavrado pela  Pol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cia de Meio Ambiente de Conselheiro Lafaiete, as interven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foram realizadas na propriedade da sr</w:t>
      </w:r>
      <w:r>
        <w:rPr>
          <w:rStyle w:val="Número de página"/>
          <w:rtl w:val="0"/>
          <w:lang w:val="pt-PT"/>
        </w:rPr>
        <w:t>ª</w:t>
      </w:r>
      <w:r>
        <w:rPr>
          <w:rStyle w:val="Número de página"/>
          <w:rtl w:val="0"/>
          <w:lang w:val="pt-PT"/>
        </w:rPr>
        <w:t xml:space="preserve">. Emanuelle Coelho de Paula. </w:t>
      </w:r>
    </w:p>
    <w:p>
      <w:pPr>
        <w:pStyle w:val="Normal.0"/>
        <w:ind w:firstLine="708"/>
        <w:jc w:val="both"/>
        <w:rPr>
          <w:rStyle w:val="Número de página"/>
        </w:rPr>
      </w:pPr>
    </w:p>
    <w:tbl>
      <w:tblPr>
        <w:tblW w:w="9218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160"/>
        <w:gridCol w:w="4058"/>
      </w:tblGrid>
      <w:tr>
        <w:tblPrEx>
          <w:shd w:val="clear" w:color="auto" w:fill="ced7e7"/>
        </w:tblPrEx>
        <w:trPr>
          <w:trHeight w:val="4984" w:hRule="atLeast"/>
        </w:trPr>
        <w:tc>
          <w:tcPr>
            <w:tcW w:type="dxa" w:w="51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3009807" cy="2257355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Vistoria 30.07.15 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807" cy="22573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343933" cy="3125244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Vistoria 30.07.15 039.jpe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933" cy="31252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07 e 08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Ac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ú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mulo de pedras e alargamento da trilha pr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ó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xima ao rio Garcia, no Distrito de Itatiaia. Fotos da vistoria.</w:t>
            </w:r>
          </w:p>
        </w:tc>
      </w:tr>
    </w:tbl>
    <w:p>
      <w:pPr>
        <w:pStyle w:val="Normal.0"/>
        <w:widowControl w:val="0"/>
        <w:jc w:val="both"/>
        <w:rPr>
          <w:rStyle w:val="Número de página"/>
        </w:rPr>
      </w:pPr>
    </w:p>
    <w:p>
      <w:pPr>
        <w:pStyle w:val="Normal.0"/>
        <w:ind w:firstLine="708"/>
        <w:jc w:val="both"/>
        <w:rPr>
          <w:rStyle w:val="Número de página"/>
        </w:rPr>
      </w:pPr>
    </w:p>
    <w:p>
      <w:pPr>
        <w:pStyle w:val="Normal.0"/>
        <w:ind w:firstLine="708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 xml:space="preserve">O moinho existente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margens do rio Garcia, que ainda se encontra em funcionamento,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se trata de uma ocorr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 xml:space="preserve">gica isolada. Em seu entorno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poss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vel identificar, pelo menos, uma barragem e um canal, al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de ru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nas de duas outras edifica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constru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das em pedras. </w:t>
      </w:r>
    </w:p>
    <w:p>
      <w:pPr>
        <w:pStyle w:val="Normal.0"/>
        <w:ind w:firstLine="708"/>
        <w:jc w:val="both"/>
        <w:rPr>
          <w:rStyle w:val="Número de página"/>
        </w:rPr>
      </w:pPr>
    </w:p>
    <w:tbl>
      <w:tblPr>
        <w:tblW w:w="931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760"/>
        <w:gridCol w:w="4390"/>
        <w:gridCol w:w="160"/>
      </w:tblGrid>
      <w:tr>
        <w:tblPrEx>
          <w:shd w:val="clear" w:color="auto" w:fill="ced7e7"/>
        </w:tblPrEx>
        <w:trPr>
          <w:trHeight w:val="3298" w:hRule="atLeast"/>
        </w:trPr>
        <w:tc>
          <w:tcPr>
            <w:tcW w:type="dxa" w:w="47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739719" cy="2054789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Vistoria 30.07.15 005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719" cy="20547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5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14081" cy="1960561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Vistoria 30.07.15 018.jpe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081" cy="19605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1" w:hRule="atLeast"/>
        </w:trPr>
        <w:tc>
          <w:tcPr>
            <w:tcW w:type="dxa" w:w="9310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09 e 10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Moinho localizado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Garcia, no Distrito de Itatiaia, no entorno do Parque Estadual da Serra de Ouro Branco, e detalhe de uma de suas paredes laterais. Fotos da vistoria.</w:t>
            </w:r>
          </w:p>
        </w:tc>
      </w:tr>
      <w:tr>
        <w:tblPrEx>
          <w:shd w:val="clear" w:color="auto" w:fill="ced7e7"/>
        </w:tblPrEx>
        <w:trPr>
          <w:trHeight w:val="5612" w:hRule="atLeast"/>
        </w:trPr>
        <w:tc>
          <w:tcPr>
            <w:tcW w:type="dxa" w:w="47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28900" cy="3524250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Vistoria 30.07.15 006.jpe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5242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drawing xmlns:a="http://schemas.openxmlformats.org/drawingml/2006/main">
                <wp:inline distT="0" distB="0" distL="0" distR="0">
                  <wp:extent cx="2518356" cy="3481168"/>
                  <wp:effectExtent l="0" t="0" r="0" b="0"/>
                  <wp:docPr id="107374184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356" cy="34811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0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15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11 e 12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Imagens internas do moinho localizado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Garcia, no Distrito de Itatiaia. Fotos da vistoria.</w:t>
            </w:r>
          </w:p>
        </w:tc>
        <w:tc>
          <w:tcPr>
            <w:tcW w:type="dxa" w:w="160"/>
            <w:tcBorders>
              <w:top w:val="nil"/>
              <w:left w:val="single" w:color="000000" w:sz="4" w:space="0" w:shadow="0" w:frame="0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Normal.0"/>
        <w:widowControl w:val="0"/>
        <w:jc w:val="both"/>
        <w:rPr>
          <w:rStyle w:val="Número de página"/>
        </w:rPr>
      </w:pPr>
    </w:p>
    <w:p>
      <w:pPr>
        <w:pStyle w:val="Normal.0"/>
        <w:jc w:val="both"/>
      </w:pPr>
    </w:p>
    <w:tbl>
      <w:tblPr>
        <w:tblW w:w="936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360"/>
      </w:tblGrid>
      <w:tr>
        <w:tblPrEx>
          <w:shd w:val="clear" w:color="auto" w:fill="ced7e7"/>
        </w:tblPrEx>
        <w:trPr>
          <w:trHeight w:val="4809" w:hRule="atLeast"/>
        </w:trPr>
        <w:tc>
          <w:tcPr>
            <w:tcW w:type="dxa" w:w="93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4057650" cy="3014663"/>
                  <wp:effectExtent l="0" t="0" r="0" b="0"/>
                  <wp:docPr id="107374184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Vistoria 30.07.15 017.jpe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301466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3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13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Conjunto arqueol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ó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gico, 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Garcia, no Distrito de Itatiaia. Fotos da vistoria.</w:t>
            </w:r>
          </w:p>
        </w:tc>
      </w:tr>
      <w:tr>
        <w:tblPrEx>
          <w:shd w:val="clear" w:color="auto" w:fill="ced7e7"/>
        </w:tblPrEx>
        <w:trPr>
          <w:trHeight w:val="5095" w:hRule="atLeast"/>
        </w:trPr>
        <w:tc>
          <w:tcPr>
            <w:tcW w:type="dxa" w:w="93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drawing xmlns:a="http://schemas.openxmlformats.org/drawingml/2006/main">
                <wp:inline distT="0" distB="0" distL="0" distR="0">
                  <wp:extent cx="5237300" cy="3196276"/>
                  <wp:effectExtent l="0" t="0" r="0" b="0"/>
                  <wp:docPr id="107374184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7300" cy="31962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1" w:hRule="atLeast"/>
        </w:trPr>
        <w:tc>
          <w:tcPr>
            <w:tcW w:type="dxa" w:w="93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14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Imagem coletada no software </w:t>
            </w:r>
            <w:r>
              <w:rPr>
                <w:i w:val="1"/>
                <w:iCs w:val="1"/>
                <w:sz w:val="22"/>
                <w:szCs w:val="22"/>
                <w:shd w:val="nil" w:color="auto" w:fill="auto"/>
                <w:rtl w:val="0"/>
                <w:lang w:val="pt-PT"/>
              </w:rPr>
              <w:t>GoogleEarth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, com a indica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da Igreja Matriz de Santo Ant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ô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nio em Itatiaia e do moinho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Garcia.  Fonte: GOOGLEEARTH,2013. Data da imagem: 07/05/2013.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Normal.0"/>
        <w:ind w:firstLine="708"/>
        <w:jc w:val="both"/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Segundo informa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 xml:space="preserve">es obtidas na data da vistoria, o local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freq</w:t>
      </w:r>
      <w:r>
        <w:rPr>
          <w:rStyle w:val="Número de página"/>
          <w:rtl w:val="0"/>
          <w:lang w:val="pt-PT"/>
        </w:rPr>
        <w:t>ü</w:t>
      </w:r>
      <w:r>
        <w:rPr>
          <w:rStyle w:val="Número de página"/>
          <w:rtl w:val="0"/>
          <w:lang w:val="pt-PT"/>
        </w:rPr>
        <w:t>entado por moradores e turistas, sobretudo aos fins de semana. Apesar da utiliza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da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rea como local de lazer, o conjunto apresenta-se, de modo geral,  bem preservado. </w:t>
      </w:r>
    </w:p>
    <w:p>
      <w:pPr>
        <w:pStyle w:val="Normal.0"/>
        <w:ind w:firstLine="708"/>
      </w:pPr>
    </w:p>
    <w:tbl>
      <w:tblPr>
        <w:tblW w:w="8781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51"/>
        <w:gridCol w:w="8630"/>
      </w:tblGrid>
      <w:tr>
        <w:tblPrEx>
          <w:shd w:val="clear" w:color="auto" w:fill="ced7e7"/>
        </w:tblPrEx>
        <w:trPr>
          <w:trHeight w:val="3954" w:hRule="atLeast"/>
        </w:trPr>
        <w:tc>
          <w:tcPr>
            <w:tcW w:type="dxa" w:w="878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3295650" cy="2471738"/>
                  <wp:effectExtent l="0" t="0" r="0" b="0"/>
                  <wp:docPr id="107374184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Vistoria 30.07.15 019.jpe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17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878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15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Paisagem que atrai turistas em Itatiaia. </w:t>
            </w:r>
          </w:p>
        </w:tc>
      </w:tr>
      <w:tr>
        <w:tblPrEx>
          <w:shd w:val="clear" w:color="auto" w:fill="ced7e7"/>
        </w:tblPrEx>
        <w:trPr>
          <w:trHeight w:val="4627" w:hRule="atLeast"/>
        </w:trPr>
        <w:tc>
          <w:tcPr>
            <w:tcW w:type="dxa" w:w="151"/>
            <w:tcBorders>
              <w:top w:val="single" w:color="000000" w:sz="4" w:space="0" w:shadow="0" w:frame="0"/>
              <w:left w:val="nil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86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drawing xmlns:a="http://schemas.openxmlformats.org/drawingml/2006/main">
                <wp:inline distT="0" distB="0" distL="0" distR="0">
                  <wp:extent cx="5263320" cy="2898985"/>
                  <wp:effectExtent l="0" t="0" r="0" b="0"/>
                  <wp:docPr id="107374184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320" cy="28989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1" w:hRule="atLeast"/>
        </w:trPr>
        <w:tc>
          <w:tcPr>
            <w:tcW w:type="dxa" w:w="151"/>
            <w:tcBorders>
              <w:top w:val="nil"/>
              <w:left w:val="nil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86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16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Imagem coletada no software </w:t>
            </w:r>
            <w:r>
              <w:rPr>
                <w:i w:val="1"/>
                <w:iCs w:val="1"/>
                <w:sz w:val="22"/>
                <w:szCs w:val="22"/>
                <w:shd w:val="nil" w:color="auto" w:fill="auto"/>
                <w:rtl w:val="0"/>
                <w:lang w:val="pt-PT"/>
              </w:rPr>
              <w:t>GoogleEarth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, com a indica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do munic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pio de Ouro Branco, do Distrito de Itatiaia e do moinho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Garcia.  Fonte: GOOGLEEARTH,2013. Data da imagem: 07/05/2013.</w:t>
            </w:r>
          </w:p>
        </w:tc>
      </w:tr>
    </w:tbl>
    <w:p>
      <w:pPr>
        <w:pStyle w:val="Normal.0"/>
        <w:widowControl w:val="0"/>
      </w:pPr>
    </w:p>
    <w:p>
      <w:pPr>
        <w:pStyle w:val="Normal.0"/>
        <w:ind w:firstLine="708"/>
        <w:jc w:val="both"/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O sr. Jairo L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cio da Silva, respons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vel pelo funcionamento do moinho e manuten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limpeza interna da edifica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o, informou-nos que existiam na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outros dois moinhos que seriam mais recentes do que o que est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 xml:space="preserve">ativo. Um deles correspondia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ru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nas adjacentes ao moinho em atividade.  O outro moinho, do qual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m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poss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vel identificar estruturas de pedras remanescentes,  ficava a poucos metros do conjunto principal.</w:t>
      </w:r>
    </w:p>
    <w:p>
      <w:pPr>
        <w:pStyle w:val="Normal.0"/>
        <w:ind w:firstLine="708"/>
        <w:jc w:val="both"/>
      </w:pPr>
    </w:p>
    <w:tbl>
      <w:tblPr>
        <w:tblW w:w="9218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680"/>
        <w:gridCol w:w="4538"/>
      </w:tblGrid>
      <w:tr>
        <w:tblPrEx>
          <w:shd w:val="clear" w:color="auto" w:fill="ced7e7"/>
        </w:tblPrEx>
        <w:trPr>
          <w:trHeight w:val="3231" w:hRule="atLeast"/>
        </w:trPr>
        <w:tc>
          <w:tcPr>
            <w:tcW w:type="dxa" w:w="46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719771" cy="2012631"/>
                  <wp:effectExtent l="0" t="0" r="0" b="0"/>
                  <wp:docPr id="107374184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Vistoria 30.07.15 023.jpe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71" cy="20126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33969" cy="1975477"/>
                  <wp:effectExtent l="0" t="0" r="0" b="0"/>
                  <wp:docPr id="107374184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Vistoria 30.07.15 026.jpe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69" cy="19754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17 e 18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Estruturas remanescentes de antigo moinho,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à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s margens do rio Garcia, no Distrito de Itatiaia. Fotos da vistoria.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Normal.0"/>
        <w:ind w:firstLine="708"/>
        <w:jc w:val="both"/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Verificou-se que a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quiosque, objeto da den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ncia que originou este procedimento, trata-se de uma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que impactou negativamente o conjunto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gico,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apenas sob o ponto de vista paisag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stico, mas, sobretudo, em rela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integridade das estruturas. Verificou-se que algumas pedras utilizadas na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quiosque podem ter sido retiradas das ru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nas existentes na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rea. </w:t>
      </w:r>
    </w:p>
    <w:p>
      <w:pPr>
        <w:pStyle w:val="Normal.0"/>
        <w:jc w:val="both"/>
      </w:pPr>
    </w:p>
    <w:tbl>
      <w:tblPr>
        <w:tblW w:w="9218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594"/>
        <w:gridCol w:w="160"/>
        <w:gridCol w:w="4464"/>
      </w:tblGrid>
      <w:tr>
        <w:tblPrEx>
          <w:shd w:val="clear" w:color="auto" w:fill="ced7e7"/>
        </w:tblPrEx>
        <w:trPr>
          <w:trHeight w:val="3234" w:hRule="atLeast"/>
        </w:trPr>
        <w:tc>
          <w:tcPr>
            <w:tcW w:type="dxa" w:w="4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67806" cy="2000855"/>
                  <wp:effectExtent l="0" t="0" r="0" b="0"/>
                  <wp:docPr id="107374184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Vistoria 30.07.15 021.jpe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06" cy="20008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2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85933" cy="2014450"/>
                  <wp:effectExtent l="0" t="0" r="0" b="0"/>
                  <wp:docPr id="107374184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Vistoria 30.07.15 032.jpe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933" cy="2014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18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19 e 20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Quiosque constru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do pr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ó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ximo a estruturas arqueol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ó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gicas no Distrito de Itatiaia. Fotos da vistoria.</w:t>
            </w:r>
          </w:p>
        </w:tc>
      </w:tr>
      <w:tr>
        <w:tblPrEx>
          <w:shd w:val="clear" w:color="auto" w:fill="ced7e7"/>
        </w:tblPrEx>
        <w:trPr>
          <w:trHeight w:val="3327" w:hRule="atLeast"/>
        </w:trPr>
        <w:tc>
          <w:tcPr>
            <w:tcW w:type="dxa" w:w="475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764485" cy="2073364"/>
                  <wp:effectExtent l="0" t="0" r="0" b="0"/>
                  <wp:docPr id="107374185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Vistoria 30.07.15 027.jpe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485" cy="20733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589255" cy="1941941"/>
                  <wp:effectExtent l="0" t="0" r="0" b="0"/>
                  <wp:docPr id="107374185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Vistoria 30.07.15 029.jpe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255" cy="19419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18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21 e 22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Pedras que podem ter sido retiradas de ru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nas para constru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do quiosque. Fotos da vistoria.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Normal.0"/>
        <w:jc w:val="both"/>
      </w:pPr>
    </w:p>
    <w:p>
      <w:pPr>
        <w:pStyle w:val="Normal.0"/>
        <w:jc w:val="both"/>
      </w:pPr>
      <w:r>
        <w:rPr>
          <w:rStyle w:val="Número de página"/>
          <w:rtl w:val="0"/>
        </w:rPr>
        <w:tab/>
        <w:t>Nas proximidades do quiosque, verificou-se a perman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de entulhos decorrentes das obras de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e a exist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 xml:space="preserve">ncia de uma abertura no terreno, provavelmente associada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obra. </w:t>
      </w:r>
    </w:p>
    <w:p>
      <w:pPr>
        <w:pStyle w:val="Normal.0"/>
        <w:jc w:val="both"/>
      </w:pPr>
    </w:p>
    <w:tbl>
      <w:tblPr>
        <w:tblW w:w="922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640"/>
        <w:gridCol w:w="4580"/>
      </w:tblGrid>
      <w:tr>
        <w:tblPrEx>
          <w:shd w:val="clear" w:color="auto" w:fill="ced7e7"/>
        </w:tblPrEx>
        <w:trPr>
          <w:trHeight w:val="3245" w:hRule="atLeast"/>
        </w:trPr>
        <w:tc>
          <w:tcPr>
            <w:tcW w:type="dxa" w:w="4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94994" cy="2021245"/>
                  <wp:effectExtent l="0" t="0" r="0" b="0"/>
                  <wp:docPr id="107374185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Vistoria 30.07.15 027.jpe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994" cy="2021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658747" cy="1980587"/>
                  <wp:effectExtent l="0" t="0" r="0" b="0"/>
                  <wp:docPr id="107374185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Vistoria 30.07.15 035.jpe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747" cy="19805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2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23 e 24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Entulhos decorrentes das obras do quiosque e abertura identificada no terreno. Fotos da vistoria.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Normal.0"/>
        <w:jc w:val="both"/>
      </w:pPr>
      <w:r>
        <w:rPr>
          <w:rStyle w:val="Número de página"/>
          <w:rtl w:val="0"/>
          <w:lang w:val="pt-PT"/>
        </w:rPr>
        <w:t xml:space="preserve">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 xml:space="preserve">Tendo como base as imagens encaminhadas a esta Promotoria na 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poca da realiza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constru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quiosque, constatou-se que a vegeta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local j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 xml:space="preserve">foi bastante  recomposta. </w:t>
      </w:r>
    </w:p>
    <w:p>
      <w:pPr>
        <w:pStyle w:val="Normal.0"/>
        <w:jc w:val="both"/>
      </w:pPr>
    </w:p>
    <w:tbl>
      <w:tblPr>
        <w:tblW w:w="9218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040"/>
        <w:gridCol w:w="4178"/>
      </w:tblGrid>
      <w:tr>
        <w:tblPrEx>
          <w:shd w:val="clear" w:color="auto" w:fill="ced7e7"/>
        </w:tblPrEx>
        <w:trPr>
          <w:trHeight w:val="5136" w:hRule="atLeast"/>
        </w:trPr>
        <w:tc>
          <w:tcPr>
            <w:tcW w:type="dxa" w:w="50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drawing xmlns:a="http://schemas.openxmlformats.org/drawingml/2006/main">
                <wp:inline distT="0" distB="0" distL="0" distR="0">
                  <wp:extent cx="2937298" cy="1709027"/>
                  <wp:effectExtent l="0" t="0" r="0" b="0"/>
                  <wp:docPr id="107374185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298" cy="17090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416442" cy="3221922"/>
                  <wp:effectExtent l="0" t="0" r="0" b="0"/>
                  <wp:docPr id="107374185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Vistoria 30.07.15 037.jpeg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442" cy="32219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1" w:hRule="atLeast"/>
        </w:trPr>
        <w:tc>
          <w:tcPr>
            <w:tcW w:type="dxa" w:w="92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25 e 26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Imagens do quiosque em outubro de 2014  e imagem atual com a vegeta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o j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á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recomposta em seu entorno. Fonte: Fotos encaminhadas a esta Promotoria em 2014 e foto da vistoria.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Normal.0"/>
        <w:jc w:val="both"/>
      </w:pPr>
    </w:p>
    <w:p>
      <w:pPr>
        <w:pStyle w:val="Normal.0"/>
        <w:jc w:val="both"/>
        <w:rPr>
          <w:rStyle w:val="Número de página"/>
        </w:rPr>
      </w:pPr>
      <w:r>
        <w:rPr>
          <w:rStyle w:val="Número de página"/>
          <w:rtl w:val="0"/>
        </w:rPr>
        <w:tab/>
        <w:t>O est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gio de recomposi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 mata e o estado de abandono em que o quiosque se encontra, inclusive, sem cobertura, permitiram concluir que a interven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foi totalmente paralisada. </w:t>
      </w:r>
    </w:p>
    <w:p>
      <w:pPr>
        <w:pStyle w:val="Normal.0"/>
        <w:ind w:firstLine="708"/>
        <w:jc w:val="both"/>
        <w:rPr>
          <w:b w:val="1"/>
          <w:bCs w:val="1"/>
        </w:rPr>
      </w:pPr>
    </w:p>
    <w:p>
      <w:pPr>
        <w:pStyle w:val="Normal.0"/>
        <w:ind w:firstLine="708"/>
        <w:jc w:val="both"/>
        <w:rPr>
          <w:b w:val="1"/>
          <w:bCs w:val="1"/>
        </w:rPr>
      </w:pPr>
    </w:p>
    <w:p>
      <w:pPr>
        <w:pStyle w:val="Título 7"/>
        <w:ind w:left="0" w:firstLine="0"/>
      </w:pPr>
      <w:r>
        <w:rPr>
          <w:rStyle w:val="Número de página"/>
          <w:rtl w:val="0"/>
          <w:lang w:val="pt-PT"/>
        </w:rPr>
        <w:t>6- FUNDAMENTA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 e 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natural est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cada vez mais amea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ados de destrui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tanto pela degrada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natural do bem quanto pelas altera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sofridas devido a crescentes demandas sociais e 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micas. A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 permite que a mem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ria e a identidade das popula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se perpetuem atrav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s do tempo, podendo ser conhecidas pelas gera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 xml:space="preserve">es futuras.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raros os casos em que a destrui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 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tios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gicos ocorrem em decorr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de interesses 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micos e atividades tur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sticas que provocam, al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de graves impactos ambientais, a perda irrepar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vel de um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que abriga importantes vest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gios da ocupa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humana, comprometendo a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ria das comunidades locais.</w:t>
      </w:r>
    </w:p>
    <w:p>
      <w:pPr>
        <w:pStyle w:val="Normal.0"/>
        <w:ind w:firstLine="709"/>
        <w:jc w:val="both"/>
        <w:rPr>
          <w:b w:val="1"/>
          <w:bCs w:val="1"/>
          <w:lang w:val="pt-PT"/>
        </w:rPr>
      </w:pPr>
      <w:r>
        <w:rPr>
          <w:rtl w:val="0"/>
          <w:lang w:val="pt-PT"/>
        </w:rPr>
        <w:t xml:space="preserve"> O desaparecimento ou a degrada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 do patrim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nio cultural constitui no empobrecimento do patrim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nio municipal, e conseq</w:t>
      </w:r>
      <w:r>
        <w:rPr>
          <w:rtl w:val="0"/>
          <w:lang w:val="pt-PT"/>
        </w:rPr>
        <w:t>ü</w:t>
      </w:r>
      <w:r>
        <w:rPr>
          <w:rtl w:val="0"/>
          <w:lang w:val="pt-PT"/>
        </w:rPr>
        <w:t xml:space="preserve">entemente o estadual e federal. </w:t>
      </w:r>
      <w:r>
        <w:rPr>
          <w:b w:val="1"/>
          <w:bCs w:val="1"/>
          <w:rtl w:val="0"/>
          <w:lang w:val="pt-PT"/>
        </w:rPr>
        <w:t>No caso das estruturas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gicas existentes </w:t>
      </w:r>
      <w:r>
        <w:rPr>
          <w:b w:val="1"/>
          <w:bCs w:val="1"/>
          <w:rtl w:val="0"/>
          <w:lang w:val="pt-PT"/>
        </w:rPr>
        <w:t>à</w:t>
      </w:r>
      <w:r>
        <w:rPr>
          <w:b w:val="1"/>
          <w:bCs w:val="1"/>
          <w:rtl w:val="0"/>
          <w:lang w:val="pt-PT"/>
        </w:rPr>
        <w:t xml:space="preserve">s margens do rio Garcia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>presente esta amea</w:t>
      </w:r>
      <w:r>
        <w:rPr>
          <w:b w:val="1"/>
          <w:bCs w:val="1"/>
          <w:rtl w:val="0"/>
          <w:lang w:val="pt-PT"/>
        </w:rPr>
        <w:t>ç</w:t>
      </w:r>
      <w:r>
        <w:rPr>
          <w:b w:val="1"/>
          <w:bCs w:val="1"/>
          <w:rtl w:val="0"/>
          <w:lang w:val="pt-PT"/>
        </w:rPr>
        <w:t>a, uma vez que a interven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praticada comprometeu al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>m do aspecto paisag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stico, a integridade das ru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nas. Al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 xml:space="preserve">m disso, a 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 xml:space="preserve">rea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>utilizada como local de lazer pelos moradores do distrito e pelos turistas, podendo ser impactada em fun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 xml:space="preserve">o desta atividade. </w:t>
      </w:r>
    </w:p>
    <w:p>
      <w:pPr>
        <w:pStyle w:val="Corpo de texto 3"/>
        <w:ind w:firstLine="482"/>
      </w:pPr>
      <w:r>
        <w:rPr>
          <w:rStyle w:val="Número de página"/>
          <w:rtl w:val="0"/>
          <w:lang w:val="pt-PT"/>
        </w:rPr>
        <w:t>Deve-se considerar que 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 constitui testemunho essencial sobre as atividades humanas do passado. Portanto, sua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indispens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vel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apenas em nome das gera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futuras, como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do ponto de vista da produ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conhecimento cient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fico. </w:t>
      </w:r>
    </w:p>
    <w:p>
      <w:pPr>
        <w:pStyle w:val="Normal.0"/>
        <w:ind w:firstLine="482"/>
        <w:jc w:val="both"/>
        <w:rPr>
          <w:b w:val="1"/>
          <w:bCs w:val="1"/>
        </w:rPr>
      </w:pPr>
      <w:r>
        <w:rPr>
          <w:rStyle w:val="Número de página"/>
          <w:rtl w:val="0"/>
          <w:lang w:val="pt-PT"/>
        </w:rPr>
        <w:t>A Lei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3924/1961 disp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 sobre os monumentos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gicos e pr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-hist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ricos no Brasil, estabelecendo regras para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deste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em todo territ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rio nacional. O aproveitamento 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mico, a destrui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ou mutila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das jazidas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gicas ou pr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-hist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ricas, antes de serem devidamente pesquisados,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proibidos por esta legisla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o. </w:t>
      </w:r>
      <w:r>
        <w:rPr>
          <w:b w:val="1"/>
          <w:bCs w:val="1"/>
          <w:rtl w:val="0"/>
          <w:lang w:val="pt-PT"/>
        </w:rPr>
        <w:t>Registre-se que as estruturas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gicas existentes na regi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de Ouro Branco e Itatiaia ainda n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 xml:space="preserve">o foram esgotadas como objeto de estudo.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>importante ressaltar que o  Plano de Manejo do Parque Estadual da Serra de Ouro Branco e do Monumento Natural de Itatiaia ainda est</w:t>
      </w:r>
      <w:r>
        <w:rPr>
          <w:b w:val="1"/>
          <w:bCs w:val="1"/>
          <w:rtl w:val="0"/>
          <w:lang w:val="pt-PT"/>
        </w:rPr>
        <w:t xml:space="preserve">á </w:t>
      </w:r>
      <w:r>
        <w:rPr>
          <w:b w:val="1"/>
          <w:bCs w:val="1"/>
          <w:rtl w:val="0"/>
          <w:lang w:val="pt-PT"/>
        </w:rPr>
        <w:t>em processo de elabora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De acordo com o art. 216, V, da Constitui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Federal de 1988 </w:t>
      </w:r>
      <w:r>
        <w:rPr>
          <w:i w:val="1"/>
          <w:iCs w:val="1"/>
          <w:rtl w:val="0"/>
          <w:lang w:val="pt-PT"/>
        </w:rPr>
        <w:t>“</w:t>
      </w:r>
      <w:r>
        <w:rPr>
          <w:i w:val="1"/>
          <w:iCs w:val="1"/>
          <w:rtl w:val="0"/>
          <w:lang w:val="pt-PT"/>
        </w:rPr>
        <w:t>os s</w:t>
      </w:r>
      <w:r>
        <w:rPr>
          <w:i w:val="1"/>
          <w:iCs w:val="1"/>
          <w:rtl w:val="0"/>
          <w:lang w:val="pt-PT"/>
        </w:rPr>
        <w:t>í</w:t>
      </w:r>
      <w:r>
        <w:rPr>
          <w:i w:val="1"/>
          <w:iCs w:val="1"/>
          <w:rtl w:val="0"/>
          <w:lang w:val="pt-PT"/>
        </w:rPr>
        <w:t>tios de valor hist</w:t>
      </w:r>
      <w:r>
        <w:rPr>
          <w:i w:val="1"/>
          <w:iCs w:val="1"/>
          <w:rtl w:val="0"/>
          <w:lang w:val="pt-PT"/>
        </w:rPr>
        <w:t>ó</w:t>
      </w:r>
      <w:r>
        <w:rPr>
          <w:i w:val="1"/>
          <w:iCs w:val="1"/>
          <w:rtl w:val="0"/>
          <w:lang w:val="pt-PT"/>
        </w:rPr>
        <w:t>rico, paisag</w:t>
      </w:r>
      <w:r>
        <w:rPr>
          <w:i w:val="1"/>
          <w:iCs w:val="1"/>
          <w:rtl w:val="0"/>
          <w:lang w:val="pt-PT"/>
        </w:rPr>
        <w:t>í</w:t>
      </w:r>
      <w:r>
        <w:rPr>
          <w:i w:val="1"/>
          <w:iCs w:val="1"/>
          <w:rtl w:val="0"/>
          <w:lang w:val="pt-PT"/>
        </w:rPr>
        <w:t>stico, art</w:t>
      </w:r>
      <w:r>
        <w:rPr>
          <w:i w:val="1"/>
          <w:iCs w:val="1"/>
          <w:rtl w:val="0"/>
          <w:lang w:val="pt-PT"/>
        </w:rPr>
        <w:t>í</w:t>
      </w:r>
      <w:r>
        <w:rPr>
          <w:i w:val="1"/>
          <w:iCs w:val="1"/>
          <w:rtl w:val="0"/>
          <w:lang w:val="pt-PT"/>
        </w:rPr>
        <w:t>stico, arqueol</w:t>
      </w:r>
      <w:r>
        <w:rPr>
          <w:i w:val="1"/>
          <w:iCs w:val="1"/>
          <w:rtl w:val="0"/>
          <w:lang w:val="pt-PT"/>
        </w:rPr>
        <w:t>ó</w:t>
      </w:r>
      <w:r>
        <w:rPr>
          <w:i w:val="1"/>
          <w:iCs w:val="1"/>
          <w:rtl w:val="0"/>
          <w:lang w:val="pt-PT"/>
        </w:rPr>
        <w:t>gico, paleontol</w:t>
      </w:r>
      <w:r>
        <w:rPr>
          <w:i w:val="1"/>
          <w:iCs w:val="1"/>
          <w:rtl w:val="0"/>
          <w:lang w:val="pt-PT"/>
        </w:rPr>
        <w:t>ó</w:t>
      </w:r>
      <w:r>
        <w:rPr>
          <w:i w:val="1"/>
          <w:iCs w:val="1"/>
          <w:rtl w:val="0"/>
          <w:lang w:val="pt-PT"/>
        </w:rPr>
        <w:t>gico, ecol</w:t>
      </w:r>
      <w:r>
        <w:rPr>
          <w:i w:val="1"/>
          <w:iCs w:val="1"/>
          <w:rtl w:val="0"/>
          <w:lang w:val="pt-PT"/>
        </w:rPr>
        <w:t>ó</w:t>
      </w:r>
      <w:r>
        <w:rPr>
          <w:i w:val="1"/>
          <w:iCs w:val="1"/>
          <w:rtl w:val="0"/>
          <w:lang w:val="pt-PT"/>
        </w:rPr>
        <w:t>gico e cient</w:t>
      </w:r>
      <w:r>
        <w:rPr>
          <w:i w:val="1"/>
          <w:iCs w:val="1"/>
          <w:rtl w:val="0"/>
          <w:lang w:val="pt-PT"/>
        </w:rPr>
        <w:t>í</w:t>
      </w:r>
      <w:r>
        <w:rPr>
          <w:i w:val="1"/>
          <w:iCs w:val="1"/>
          <w:rtl w:val="0"/>
          <w:lang w:val="pt-PT"/>
        </w:rPr>
        <w:t>fico</w:t>
      </w:r>
      <w:r>
        <w:rPr>
          <w:i w:val="1"/>
          <w:iCs w:val="1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 xml:space="preserve"> incluem-se como integrantes do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 brasileiro, e, por isso, ficam sujeitos a um regime especial de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que visa  a sua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De acordo com a Carta de Laussane:</w:t>
      </w:r>
      <w:r>
        <w:rPr>
          <w:rStyle w:val="Caracteres de nota de rodapé"/>
        </w:rPr>
        <w:footnoteReference w:id="6"/>
      </w:r>
    </w:p>
    <w:p>
      <w:pPr>
        <w:pStyle w:val="Normal.0"/>
        <w:ind w:firstLine="708"/>
        <w:jc w:val="both"/>
      </w:pPr>
    </w:p>
    <w:p>
      <w:pPr>
        <w:pStyle w:val="Normal.0"/>
        <w:ind w:left="1701" w:firstLine="0"/>
        <w:jc w:val="both"/>
        <w:rPr>
          <w:sz w:val="22"/>
          <w:szCs w:val="22"/>
        </w:rPr>
      </w:pPr>
      <w:r>
        <w:rPr>
          <w:rStyle w:val="Número de página"/>
        </w:rPr>
        <w:tab/>
      </w:r>
      <w:r>
        <w:rPr>
          <w:sz w:val="22"/>
          <w:szCs w:val="22"/>
          <w:rtl w:val="0"/>
          <w:lang w:val="pt-PT"/>
        </w:rPr>
        <w:t>Art. 2</w:t>
      </w:r>
      <w:r>
        <w:rPr>
          <w:sz w:val="22"/>
          <w:szCs w:val="22"/>
          <w:rtl w:val="0"/>
          <w:lang w:val="pt-PT"/>
        </w:rPr>
        <w:t>º</w:t>
      </w:r>
      <w:r>
        <w:rPr>
          <w:sz w:val="22"/>
          <w:szCs w:val="22"/>
          <w:rtl w:val="0"/>
          <w:lang w:val="pt-PT"/>
        </w:rPr>
        <w:t>- 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 xml:space="preserve">gico </w:t>
      </w:r>
      <w:r>
        <w:rPr>
          <w:sz w:val="22"/>
          <w:szCs w:val="22"/>
          <w:rtl w:val="0"/>
          <w:lang w:val="pt-PT"/>
        </w:rPr>
        <w:t xml:space="preserve">é </w:t>
      </w:r>
      <w:r>
        <w:rPr>
          <w:sz w:val="22"/>
          <w:szCs w:val="22"/>
          <w:rtl w:val="0"/>
          <w:lang w:val="pt-PT"/>
        </w:rPr>
        <w:t>um recurso cultural fr</w:t>
      </w:r>
      <w:r>
        <w:rPr>
          <w:sz w:val="22"/>
          <w:szCs w:val="22"/>
          <w:rtl w:val="0"/>
          <w:lang w:val="pt-PT"/>
        </w:rPr>
        <w:t>á</w:t>
      </w:r>
      <w:r>
        <w:rPr>
          <w:sz w:val="22"/>
          <w:szCs w:val="22"/>
          <w:rtl w:val="0"/>
          <w:lang w:val="pt-PT"/>
        </w:rPr>
        <w:t>gil e n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>o renov</w:t>
      </w:r>
      <w:r>
        <w:rPr>
          <w:sz w:val="22"/>
          <w:szCs w:val="22"/>
          <w:rtl w:val="0"/>
          <w:lang w:val="pt-PT"/>
        </w:rPr>
        <w:t>á</w:t>
      </w:r>
      <w:r>
        <w:rPr>
          <w:sz w:val="22"/>
          <w:szCs w:val="22"/>
          <w:rtl w:val="0"/>
          <w:lang w:val="pt-PT"/>
        </w:rPr>
        <w:t>vel. Os planos de ocupa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solo decorrentes de projetos desenvolvimentistas devem, em conseq</w:t>
      </w:r>
      <w:r>
        <w:rPr>
          <w:sz w:val="22"/>
          <w:szCs w:val="22"/>
          <w:rtl w:val="0"/>
          <w:lang w:val="pt-PT"/>
        </w:rPr>
        <w:t>üê</w:t>
      </w:r>
      <w:r>
        <w:rPr>
          <w:sz w:val="22"/>
          <w:szCs w:val="22"/>
          <w:rtl w:val="0"/>
          <w:lang w:val="pt-PT"/>
        </w:rPr>
        <w:t>ncia, ser regulamentados, a fim de minimizar, o mais poss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vel, a destrui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deste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nio(...)</w:t>
      </w:r>
    </w:p>
    <w:p>
      <w:pPr>
        <w:pStyle w:val="Normal.0"/>
        <w:ind w:left="1701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      Art. 3</w:t>
      </w:r>
      <w:r>
        <w:rPr>
          <w:sz w:val="22"/>
          <w:szCs w:val="22"/>
          <w:rtl w:val="0"/>
          <w:lang w:val="pt-PT"/>
        </w:rPr>
        <w:t>º</w:t>
      </w:r>
      <w:r>
        <w:rPr>
          <w:sz w:val="22"/>
          <w:szCs w:val="22"/>
          <w:rtl w:val="0"/>
          <w:lang w:val="pt-PT"/>
        </w:rPr>
        <w:t>- (...) A legisla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deve garantir a conserva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 em fun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das necessidades da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ria e das tradi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de cada pa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 e regi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 xml:space="preserve">o, garantindo amplo lugar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conserva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 xml:space="preserve">o </w:t>
      </w:r>
      <w:r>
        <w:rPr>
          <w:i w:val="1"/>
          <w:iCs w:val="1"/>
          <w:sz w:val="22"/>
          <w:szCs w:val="22"/>
          <w:rtl w:val="0"/>
          <w:lang w:val="pt-PT"/>
        </w:rPr>
        <w:t>in situ</w:t>
      </w:r>
      <w:r>
        <w:rPr>
          <w:sz w:val="22"/>
          <w:szCs w:val="22"/>
          <w:rtl w:val="0"/>
          <w:lang w:val="pt-PT"/>
        </w:rPr>
        <w:t xml:space="preserve"> e aos imperativos da pesquisa</w:t>
      </w:r>
    </w:p>
    <w:p>
      <w:pPr>
        <w:pStyle w:val="Normal.0"/>
        <w:ind w:left="1701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(....) A legisla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deve proibir a destrui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o, degrada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ou altera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por modifica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 qualquer monumento, s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tio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 ou seu entorno, sem a anu</w:t>
      </w:r>
      <w:r>
        <w:rPr>
          <w:sz w:val="22"/>
          <w:szCs w:val="22"/>
          <w:rtl w:val="0"/>
          <w:lang w:val="pt-PT"/>
        </w:rPr>
        <w:t>ê</w:t>
      </w:r>
      <w:r>
        <w:rPr>
          <w:sz w:val="22"/>
          <w:szCs w:val="22"/>
          <w:rtl w:val="0"/>
          <w:lang w:val="pt-PT"/>
        </w:rPr>
        <w:t>ncia das inst</w:t>
      </w:r>
      <w:r>
        <w:rPr>
          <w:sz w:val="22"/>
          <w:szCs w:val="22"/>
          <w:rtl w:val="0"/>
          <w:lang w:val="pt-PT"/>
        </w:rPr>
        <w:t>â</w:t>
      </w:r>
      <w:r>
        <w:rPr>
          <w:sz w:val="22"/>
          <w:szCs w:val="22"/>
          <w:rtl w:val="0"/>
          <w:lang w:val="pt-PT"/>
        </w:rPr>
        <w:t>ncias competentes(...)</w:t>
      </w:r>
    </w:p>
    <w:p>
      <w:pPr>
        <w:pStyle w:val="Corpo de texto 3"/>
        <w:ind w:firstLine="482"/>
        <w:rPr>
          <w:b w:val="0"/>
          <w:bCs w:val="0"/>
          <w:lang w:val="pt-PT"/>
        </w:rPr>
      </w:pPr>
    </w:p>
    <w:p>
      <w:pPr>
        <w:pStyle w:val="Normal.0"/>
        <w:ind w:left="708" w:firstLine="0"/>
        <w:jc w:val="both"/>
      </w:pPr>
      <w:r>
        <w:rPr>
          <w:rStyle w:val="Número de página"/>
          <w:rtl w:val="0"/>
          <w:lang w:val="pt-PT"/>
        </w:rPr>
        <w:t>Segundo a Lei Estadual 11726/94:</w:t>
      </w:r>
    </w:p>
    <w:p>
      <w:pPr>
        <w:pStyle w:val="Normal.0"/>
        <w:ind w:left="360" w:firstLine="0"/>
        <w:jc w:val="both"/>
        <w:rPr>
          <w:b w:val="1"/>
          <w:bCs w:val="1"/>
        </w:rPr>
      </w:pPr>
    </w:p>
    <w:p>
      <w:pPr>
        <w:pStyle w:val="Normal.0"/>
        <w:ind w:left="1701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Art. 13 - Os bens e s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tios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gicos, as cavidades naturais  subterr</w:t>
      </w:r>
      <w:r>
        <w:rPr>
          <w:sz w:val="22"/>
          <w:szCs w:val="22"/>
          <w:rtl w:val="0"/>
          <w:lang w:val="pt-PT"/>
        </w:rPr>
        <w:t>â</w:t>
      </w:r>
      <w:r>
        <w:rPr>
          <w:sz w:val="22"/>
          <w:szCs w:val="22"/>
          <w:rtl w:val="0"/>
          <w:lang w:val="pt-PT"/>
        </w:rPr>
        <w:t>neas  e os dep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sitos fossil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 xml:space="preserve">feros sujeitam-se 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guarda e  prote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Estado, que as exercer</w:t>
      </w:r>
      <w:r>
        <w:rPr>
          <w:sz w:val="22"/>
          <w:szCs w:val="22"/>
          <w:rtl w:val="0"/>
          <w:lang w:val="pt-PT"/>
        </w:rPr>
        <w:t xml:space="preserve">á </w:t>
      </w:r>
      <w:r>
        <w:rPr>
          <w:sz w:val="22"/>
          <w:szCs w:val="22"/>
          <w:rtl w:val="0"/>
          <w:lang w:val="pt-PT"/>
        </w:rPr>
        <w:t>em colabora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com a comunidade.</w:t>
      </w:r>
    </w:p>
    <w:p>
      <w:pPr>
        <w:pStyle w:val="Normal.0"/>
        <w:ind w:left="720" w:right="1152" w:firstLine="0"/>
        <w:jc w:val="both"/>
      </w:pPr>
    </w:p>
    <w:p>
      <w:pPr>
        <w:pStyle w:val="Normal.0"/>
        <w:jc w:val="both"/>
      </w:pPr>
      <w:r>
        <w:rPr>
          <w:rStyle w:val="Número de página"/>
          <w:rtl w:val="0"/>
        </w:rPr>
        <w:tab/>
        <w:t>Sabe-se que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 est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atraindo cada vez mais o interesse de turistas que buscam conhecer os locais em que viveram grupos humanos pret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ritos e os vest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gios remanescentes destas sociedades. Neste sentido, o turismo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 pode se tornar um importante instrumento para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o, valoriza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e divulga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destes bens culturais, al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m de contribuir para o desenvolvimento s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cio-econ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mico das comunidades onde se encontram inseridos. No entanto, quando praticado de forma desordenada, o turismo pode se tornar um fator de degrada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para 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 xml:space="preserve">nio cultural.  </w:t>
      </w:r>
    </w:p>
    <w:p>
      <w:pPr>
        <w:pStyle w:val="Normal.0"/>
        <w:jc w:val="both"/>
        <w:rPr>
          <w:rStyle w:val="Número de página"/>
        </w:rPr>
      </w:pPr>
      <w:r>
        <w:rPr>
          <w:rStyle w:val="Número de página"/>
          <w:rtl w:val="0"/>
        </w:rPr>
        <w:tab/>
        <w:t>Neste sentido, as atividades de turismo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 xml:space="preserve">gico devem ser planejadas sob a 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tica da sustentabilidade, adotando pr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ticas que visem, sobretudo,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deste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nio, que se constitui num recurso cultural fr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gil e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o-renov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vel. </w:t>
      </w:r>
    </w:p>
    <w:p>
      <w:pPr>
        <w:pStyle w:val="Corpo de texto 3"/>
      </w:pPr>
    </w:p>
    <w:p>
      <w:pPr>
        <w:pStyle w:val="Corpo de texto 3"/>
        <w:rPr>
          <w:rStyle w:val="Número de página"/>
          <w:lang w:val="pt-PT"/>
        </w:rPr>
      </w:pPr>
    </w:p>
    <w:p>
      <w:pPr>
        <w:pStyle w:val="Corpo de texto 3"/>
        <w:numPr>
          <w:ilvl w:val="0"/>
          <w:numId w:val="7"/>
        </w:numPr>
        <w:rPr>
          <w:lang w:val="pt-PT"/>
        </w:rPr>
      </w:pPr>
      <w:r>
        <w:rPr>
          <w:rStyle w:val="Número de página"/>
          <w:rtl w:val="0"/>
          <w:lang w:val="pt-PT"/>
        </w:rPr>
        <w:t>CONCLUS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ES E SUGEST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ES</w:t>
      </w:r>
    </w:p>
    <w:p>
      <w:pPr>
        <w:pStyle w:val="Corpo de texto 3"/>
      </w:pPr>
    </w:p>
    <w:p>
      <w:pPr>
        <w:pStyle w:val="Corpo de texto 3"/>
        <w:ind w:firstLine="708"/>
      </w:pPr>
      <w:r>
        <w:rPr>
          <w:rStyle w:val="Número de página"/>
          <w:rtl w:val="0"/>
          <w:lang w:val="pt-PT"/>
        </w:rPr>
        <w:t>No s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culo XVIII, a Serra de Ouro Branco era conhecida como Serra do Deus-te-livre, em raz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dos saques promovidos por escravos fugitivos aos viajantes nas suas estradas, e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 xml:space="preserve">s muitas dificuldades enfrentadas na travessia. </w:t>
      </w:r>
    </w:p>
    <w:p>
      <w:pPr>
        <w:pStyle w:val="Corpo de texto 3"/>
        <w:ind w:firstLine="708"/>
        <w:rPr>
          <w:outline w:val="0"/>
          <w:color w:val="000000"/>
          <w:u w:color="000000"/>
          <w:lang w:val="pt-PT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Portanto, o potencial arqueol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gico deste territ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rio 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é 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extremamente elevado, abrangendo, al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 de vest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gios de antigos caminhos e estradas do ouro, vest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gios de minera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que podem ser identificados em toda sua extens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o.</w:t>
      </w:r>
    </w:p>
    <w:p>
      <w:pPr>
        <w:pStyle w:val="Corpo de texto 3"/>
        <w:ind w:firstLine="708"/>
      </w:pP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Dada a relev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â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ncia natural e cultural da regi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o, diversos instrumentos convergem para sua prote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o. Em </w:t>
      </w:r>
      <w:r>
        <w:rPr>
          <w:rtl w:val="0"/>
          <w:lang w:val="pt-PT"/>
        </w:rPr>
        <w:t>07 de novembro de 1978, o Conjunto Paisag</w:t>
      </w:r>
      <w:r>
        <w:rPr>
          <w:rtl w:val="0"/>
          <w:lang w:val="pt-PT"/>
        </w:rPr>
        <w:t>í</w:t>
      </w:r>
      <w:r>
        <w:rPr>
          <w:rtl w:val="0"/>
          <w:lang w:val="pt-PT"/>
        </w:rPr>
        <w:t>stico da Serra do Ouro foi tombado em n</w:t>
      </w:r>
      <w:r>
        <w:rPr>
          <w:rtl w:val="0"/>
          <w:lang w:val="pt-PT"/>
        </w:rPr>
        <w:t>í</w:t>
      </w:r>
      <w:r>
        <w:rPr>
          <w:rtl w:val="0"/>
          <w:lang w:val="pt-PT"/>
        </w:rPr>
        <w:t>vel estadual pelo Decreto n</w:t>
      </w:r>
      <w:r>
        <w:rPr>
          <w:rtl w:val="0"/>
          <w:lang w:val="pt-PT"/>
        </w:rPr>
        <w:t xml:space="preserve">º </w:t>
      </w:r>
      <w:r>
        <w:rPr>
          <w:rtl w:val="0"/>
          <w:lang w:val="pt-PT"/>
        </w:rPr>
        <w:t>19.530.  Em 2009, foram criadas na regi</w:t>
      </w:r>
      <w:r>
        <w:rPr>
          <w:rtl w:val="0"/>
          <w:lang w:val="pt-PT"/>
        </w:rPr>
        <w:t>ã</w:t>
      </w:r>
      <w:r>
        <w:rPr>
          <w:rtl w:val="0"/>
          <w:lang w:val="pt-PT"/>
        </w:rPr>
        <w:t>o duas unidades de conserva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 de prote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 integral: o Parque Estadual da Serra de Ouro Branco, por meio do Decreto n</w:t>
      </w:r>
      <w:r>
        <w:rPr>
          <w:rtl w:val="0"/>
          <w:lang w:val="pt-PT"/>
        </w:rPr>
        <w:t xml:space="preserve">º </w:t>
      </w:r>
      <w:r>
        <w:rPr>
          <w:rtl w:val="0"/>
          <w:lang w:val="pt-PT"/>
        </w:rPr>
        <w:t>45.180,  e o Monumento Natural Estadual de Itatiaia, por meio do Decreto n</w:t>
      </w:r>
      <w:r>
        <w:rPr>
          <w:rtl w:val="0"/>
          <w:lang w:val="pt-PT"/>
        </w:rPr>
        <w:t xml:space="preserve">º </w:t>
      </w:r>
      <w:r>
        <w:rPr>
          <w:rtl w:val="0"/>
          <w:lang w:val="pt-PT"/>
        </w:rPr>
        <w:t xml:space="preserve">45.179. 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N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obstante a import</w:t>
      </w:r>
      <w:r>
        <w:rPr>
          <w:b w:val="1"/>
          <w:bCs w:val="1"/>
          <w:rtl w:val="0"/>
          <w:lang w:val="pt-PT"/>
        </w:rPr>
        <w:t>â</w:t>
      </w:r>
      <w:r>
        <w:rPr>
          <w:b w:val="1"/>
          <w:bCs w:val="1"/>
          <w:rtl w:val="0"/>
          <w:lang w:val="pt-PT"/>
        </w:rPr>
        <w:t>ncia destes instrumentos de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 xml:space="preserve">o,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>preciso considerar que, por si s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,  n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garantem a preserva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dos bens naturais e culturais que a regi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abriga. O patrim</w:t>
      </w:r>
      <w:r>
        <w:rPr>
          <w:b w:val="1"/>
          <w:bCs w:val="1"/>
          <w:rtl w:val="0"/>
          <w:lang w:val="pt-PT"/>
        </w:rPr>
        <w:t>ô</w:t>
      </w:r>
      <w:r>
        <w:rPr>
          <w:b w:val="1"/>
          <w:bCs w:val="1"/>
          <w:rtl w:val="0"/>
          <w:lang w:val="pt-PT"/>
        </w:rPr>
        <w:t>nio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gico existente na Serra de Ouro Branco e seu entorno necessita de mecanismos mais efetivos que </w:t>
      </w:r>
      <w:r>
        <w:rPr>
          <w:b w:val="1"/>
          <w:bCs w:val="1"/>
          <w:rtl w:val="0"/>
          <w:lang w:val="pt-PT"/>
        </w:rPr>
        <w:t>assegurem uma gest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 xml:space="preserve">o adequada. </w:t>
      </w:r>
      <w:r>
        <w:rPr>
          <w:b w:val="1"/>
          <w:bCs w:val="1"/>
          <w:rtl w:val="0"/>
          <w:lang w:val="pt-PT"/>
        </w:rPr>
        <w:t xml:space="preserve"> A correta gest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do patrim</w:t>
      </w:r>
      <w:r>
        <w:rPr>
          <w:b w:val="1"/>
          <w:bCs w:val="1"/>
          <w:rtl w:val="0"/>
          <w:lang w:val="pt-PT"/>
        </w:rPr>
        <w:t>ô</w:t>
      </w:r>
      <w:r>
        <w:rPr>
          <w:b w:val="1"/>
          <w:bCs w:val="1"/>
          <w:rtl w:val="0"/>
          <w:lang w:val="pt-PT"/>
        </w:rPr>
        <w:t>nio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gico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>fundamental para sua salvaguarda.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A implementa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do Plano de Manejo do Parque Estadual da Serra de Ouro Branco e do Monumento Natural Estadual de Itatiaia certamente contribuir</w:t>
      </w:r>
      <w:r>
        <w:rPr>
          <w:b w:val="1"/>
          <w:bCs w:val="1"/>
          <w:rtl w:val="0"/>
          <w:lang w:val="pt-PT"/>
        </w:rPr>
        <w:t xml:space="preserve">á </w:t>
      </w:r>
      <w:r>
        <w:rPr>
          <w:b w:val="1"/>
          <w:bCs w:val="1"/>
          <w:rtl w:val="0"/>
          <w:lang w:val="pt-PT"/>
        </w:rPr>
        <w:t>para uma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mais efetiva da regi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o. De acordo com a Lei n</w:t>
      </w:r>
      <w:r>
        <w:rPr>
          <w:b w:val="1"/>
          <w:bCs w:val="1"/>
          <w:rtl w:val="0"/>
          <w:lang w:val="pt-PT"/>
        </w:rPr>
        <w:t xml:space="preserve">º </w:t>
      </w:r>
      <w:r>
        <w:rPr>
          <w:b w:val="1"/>
          <w:bCs w:val="1"/>
          <w:rtl w:val="0"/>
          <w:lang w:val="pt-PT"/>
        </w:rPr>
        <w:t xml:space="preserve">9.985/2000, que instituiu o SNUC, por meio do Plano de Manejo </w:t>
      </w:r>
      <w:r>
        <w:rPr>
          <w:b w:val="1"/>
          <w:bCs w:val="1"/>
          <w:rtl w:val="0"/>
          <w:lang w:val="pt-PT"/>
        </w:rPr>
        <w:t xml:space="preserve">é </w:t>
      </w:r>
      <w:r>
        <w:rPr>
          <w:b w:val="1"/>
          <w:bCs w:val="1"/>
          <w:rtl w:val="0"/>
          <w:lang w:val="pt-PT"/>
        </w:rPr>
        <w:t xml:space="preserve">que se estabelece o zoneamento e as normas que devem orientar o uso da 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rea das unidades de conserva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e o manejo de seus recursos naturais, inclusive com a implanta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das estruturas f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sicas necess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rias a sua gest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o.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Neste sentido, espera-se que as diretrizes a serem indicadas no Plano de Manejo das unidades de conserva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contemplem o patrim</w:t>
      </w:r>
      <w:r>
        <w:rPr>
          <w:b w:val="1"/>
          <w:bCs w:val="1"/>
          <w:rtl w:val="0"/>
          <w:lang w:val="pt-PT"/>
        </w:rPr>
        <w:t>ô</w:t>
      </w:r>
      <w:r>
        <w:rPr>
          <w:b w:val="1"/>
          <w:bCs w:val="1"/>
          <w:rtl w:val="0"/>
          <w:lang w:val="pt-PT"/>
        </w:rPr>
        <w:t>nio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gico de forma adequada, propondo medidas que assegurem a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e a frui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coletiva dos bens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gicos. 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O conjunto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gico, impactado pela constru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do quiosque, est</w:t>
      </w:r>
      <w:r>
        <w:rPr>
          <w:b w:val="1"/>
          <w:bCs w:val="1"/>
          <w:rtl w:val="0"/>
          <w:lang w:val="pt-PT"/>
        </w:rPr>
        <w:t xml:space="preserve">á </w:t>
      </w:r>
      <w:r>
        <w:rPr>
          <w:b w:val="1"/>
          <w:bCs w:val="1"/>
          <w:rtl w:val="0"/>
          <w:lang w:val="pt-PT"/>
        </w:rPr>
        <w:t>localizado no entorno do Parque Estadual da Serra de Ouro Branco e do Monumento Natural Estadual de Itatiaia, unidades de conserva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de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integral. Portanto, este setor t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>cnico entende que a interven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foi totalmente irregular, sem qualquer autoriza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 xml:space="preserve">o dos 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rg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 xml:space="preserve">os ambientais competentes. Os 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rg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os respons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veis pela defesa do patrim</w:t>
      </w:r>
      <w:r>
        <w:rPr>
          <w:b w:val="1"/>
          <w:bCs w:val="1"/>
          <w:rtl w:val="0"/>
          <w:lang w:val="pt-PT"/>
        </w:rPr>
        <w:t>ô</w:t>
      </w:r>
      <w:r>
        <w:rPr>
          <w:b w:val="1"/>
          <w:bCs w:val="1"/>
          <w:rtl w:val="0"/>
          <w:lang w:val="pt-PT"/>
        </w:rPr>
        <w:t>nio cultural tamb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>m n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 xml:space="preserve">o foram consultados.  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Desse modo, recomenda-se que o conjunto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gico em quest</w:t>
      </w:r>
      <w:r>
        <w:rPr>
          <w:b w:val="1"/>
          <w:bCs w:val="1"/>
          <w:rtl w:val="0"/>
          <w:lang w:val="pt-PT"/>
        </w:rPr>
        <w:t>ã</w:t>
      </w:r>
      <w:r>
        <w:rPr>
          <w:b w:val="1"/>
          <w:bCs w:val="1"/>
          <w:rtl w:val="0"/>
          <w:lang w:val="pt-PT"/>
        </w:rPr>
        <w:t>o seja cadastrado junto ao IPHAN para fins de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o.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Recomenda-se tamb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>m que a propriet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 xml:space="preserve">ria da 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rea onde ocorreram as interven</w:t>
      </w:r>
      <w:r>
        <w:rPr>
          <w:b w:val="1"/>
          <w:bCs w:val="1"/>
          <w:rtl w:val="0"/>
          <w:lang w:val="pt-PT"/>
        </w:rPr>
        <w:t>çõ</w:t>
      </w:r>
      <w:r>
        <w:rPr>
          <w:b w:val="1"/>
          <w:bCs w:val="1"/>
          <w:rtl w:val="0"/>
          <w:lang w:val="pt-PT"/>
        </w:rPr>
        <w:t xml:space="preserve">es proceda </w:t>
      </w:r>
      <w:r>
        <w:rPr>
          <w:b w:val="1"/>
          <w:bCs w:val="1"/>
          <w:rtl w:val="0"/>
          <w:lang w:val="pt-PT"/>
        </w:rPr>
        <w:t xml:space="preserve">à </w:t>
      </w:r>
      <w:r>
        <w:rPr>
          <w:b w:val="1"/>
          <w:bCs w:val="1"/>
          <w:rtl w:val="0"/>
          <w:lang w:val="pt-PT"/>
        </w:rPr>
        <w:t>demoli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 xml:space="preserve">o do quiosque, com a retirada de todos os materiais remanescentes da obra ainda presentes no local. </w:t>
      </w:r>
    </w:p>
    <w:p>
      <w:pPr>
        <w:pStyle w:val="Normal.0"/>
        <w:ind w:firstLine="708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No sentido de proteger as ocorr</w:t>
      </w:r>
      <w:r>
        <w:rPr>
          <w:b w:val="1"/>
          <w:bCs w:val="1"/>
          <w:rtl w:val="0"/>
          <w:lang w:val="pt-PT"/>
        </w:rPr>
        <w:t>ê</w:t>
      </w:r>
      <w:r>
        <w:rPr>
          <w:b w:val="1"/>
          <w:bCs w:val="1"/>
          <w:rtl w:val="0"/>
          <w:lang w:val="pt-PT"/>
        </w:rPr>
        <w:t>ncias arqueol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gicas existentes </w:t>
      </w:r>
      <w:r>
        <w:rPr>
          <w:b w:val="1"/>
          <w:bCs w:val="1"/>
          <w:rtl w:val="0"/>
          <w:lang w:val="pt-PT"/>
        </w:rPr>
        <w:t>à</w:t>
      </w:r>
      <w:r>
        <w:rPr>
          <w:b w:val="1"/>
          <w:bCs w:val="1"/>
          <w:rtl w:val="0"/>
          <w:lang w:val="pt-PT"/>
        </w:rPr>
        <w:t xml:space="preserve">s margens do rio Garcia, destaca-se a  </w:t>
      </w:r>
      <w:r>
        <w:rPr>
          <w:b w:val="1"/>
          <w:bCs w:val="1"/>
          <w:rtl w:val="0"/>
          <w:lang w:val="pt-PT"/>
        </w:rPr>
        <w:t>urg</w:t>
      </w:r>
      <w:r>
        <w:rPr>
          <w:b w:val="1"/>
          <w:bCs w:val="1"/>
          <w:rtl w:val="0"/>
          <w:lang w:val="pt-PT"/>
        </w:rPr>
        <w:t>ê</w:t>
      </w:r>
      <w:r>
        <w:rPr>
          <w:b w:val="1"/>
          <w:bCs w:val="1"/>
          <w:rtl w:val="0"/>
          <w:lang w:val="pt-PT"/>
        </w:rPr>
        <w:t>ncia das seguintes medidas</w:t>
      </w:r>
      <w:r>
        <w:rPr>
          <w:b w:val="1"/>
          <w:bCs w:val="1"/>
          <w:rtl w:val="0"/>
          <w:lang w:val="pt-PT"/>
        </w:rPr>
        <w:t>:</w:t>
      </w:r>
    </w:p>
    <w:p>
      <w:pPr>
        <w:pStyle w:val="Normal.0"/>
        <w:ind w:firstLine="708"/>
        <w:jc w:val="both"/>
        <w:rPr>
          <w:b w:val="1"/>
          <w:bCs w:val="1"/>
        </w:rPr>
      </w:pPr>
    </w:p>
    <w:p>
      <w:pPr>
        <w:pStyle w:val="Normal.0"/>
        <w:numPr>
          <w:ilvl w:val="0"/>
          <w:numId w:val="4"/>
        </w:numPr>
        <w:bidi w:val="0"/>
        <w:ind w:right="0"/>
        <w:jc w:val="both"/>
        <w:rPr>
          <w:b w:val="1"/>
          <w:bCs w:val="1"/>
          <w:rtl w:val="0"/>
          <w:lang w:val="pt-PT"/>
        </w:rPr>
      </w:pPr>
      <w:r>
        <w:rPr>
          <w:rStyle w:val="Número de página"/>
          <w:b w:val="1"/>
          <w:bCs w:val="1"/>
          <w:rtl w:val="0"/>
          <w:lang w:val="pt-PT"/>
        </w:rPr>
        <w:t>Maior fiscaliza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e vigil</w:t>
      </w:r>
      <w:r>
        <w:rPr>
          <w:rStyle w:val="Número de página"/>
          <w:b w:val="1"/>
          <w:bCs w:val="1"/>
          <w:rtl w:val="0"/>
          <w:lang w:val="pt-PT"/>
        </w:rPr>
        <w:t>â</w:t>
      </w:r>
      <w:r>
        <w:rPr>
          <w:rStyle w:val="Número de página"/>
          <w:b w:val="1"/>
          <w:bCs w:val="1"/>
          <w:rtl w:val="0"/>
          <w:lang w:val="pt-PT"/>
        </w:rPr>
        <w:t xml:space="preserve">ncia na </w:t>
      </w:r>
      <w:r>
        <w:rPr>
          <w:rStyle w:val="Número de página"/>
          <w:b w:val="1"/>
          <w:bCs w:val="1"/>
          <w:rtl w:val="0"/>
          <w:lang w:val="pt-PT"/>
        </w:rPr>
        <w:t>á</w:t>
      </w:r>
      <w:r>
        <w:rPr>
          <w:rStyle w:val="Número de página"/>
          <w:b w:val="1"/>
          <w:bCs w:val="1"/>
          <w:rtl w:val="0"/>
          <w:lang w:val="pt-PT"/>
        </w:rPr>
        <w:t>rea, a fim de evitar a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 nocivas ao patrim</w:t>
      </w:r>
      <w:r>
        <w:rPr>
          <w:rStyle w:val="Número de página"/>
          <w:b w:val="1"/>
          <w:bCs w:val="1"/>
          <w:rtl w:val="0"/>
          <w:lang w:val="pt-PT"/>
        </w:rPr>
        <w:t>ô</w:t>
      </w:r>
      <w:r>
        <w:rPr>
          <w:rStyle w:val="Número de página"/>
          <w:b w:val="1"/>
          <w:bCs w:val="1"/>
          <w:rtl w:val="0"/>
          <w:lang w:val="pt-PT"/>
        </w:rPr>
        <w:t>nio arqueol</w:t>
      </w:r>
      <w:r>
        <w:rPr>
          <w:rStyle w:val="Número de página"/>
          <w:b w:val="1"/>
          <w:bCs w:val="1"/>
          <w:rtl w:val="0"/>
          <w:lang w:val="pt-PT"/>
        </w:rPr>
        <w:t>ó</w:t>
      </w:r>
      <w:r>
        <w:rPr>
          <w:rStyle w:val="Número de página"/>
          <w:b w:val="1"/>
          <w:bCs w:val="1"/>
          <w:rtl w:val="0"/>
          <w:lang w:val="pt-PT"/>
        </w:rPr>
        <w:t>gico, tais como retirada de pedras das ru</w:t>
      </w:r>
      <w:r>
        <w:rPr>
          <w:rStyle w:val="Número de página"/>
          <w:b w:val="1"/>
          <w:bCs w:val="1"/>
          <w:rtl w:val="0"/>
          <w:lang w:val="pt-PT"/>
        </w:rPr>
        <w:t>í</w:t>
      </w:r>
      <w:r>
        <w:rPr>
          <w:rStyle w:val="Número de página"/>
          <w:b w:val="1"/>
          <w:bCs w:val="1"/>
          <w:rtl w:val="0"/>
          <w:lang w:val="pt-PT"/>
        </w:rPr>
        <w:t>nas, picha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es, fogueiras e ac</w:t>
      </w:r>
      <w:r>
        <w:rPr>
          <w:rStyle w:val="Número de página"/>
          <w:b w:val="1"/>
          <w:bCs w:val="1"/>
          <w:rtl w:val="0"/>
          <w:lang w:val="pt-PT"/>
        </w:rPr>
        <w:t>ú</w:t>
      </w:r>
      <w:r>
        <w:rPr>
          <w:rStyle w:val="Número de página"/>
          <w:b w:val="1"/>
          <w:bCs w:val="1"/>
          <w:rtl w:val="0"/>
          <w:lang w:val="pt-PT"/>
        </w:rPr>
        <w:t>mulo de lixo.</w:t>
      </w:r>
    </w:p>
    <w:p>
      <w:pPr>
        <w:pStyle w:val="Normal.0"/>
        <w:numPr>
          <w:ilvl w:val="0"/>
          <w:numId w:val="4"/>
        </w:numPr>
        <w:bidi w:val="0"/>
        <w:ind w:right="0"/>
        <w:jc w:val="both"/>
        <w:rPr>
          <w:b w:val="1"/>
          <w:bCs w:val="1"/>
          <w:rtl w:val="0"/>
          <w:lang w:val="pt-PT"/>
        </w:rPr>
      </w:pPr>
      <w:r>
        <w:rPr>
          <w:rStyle w:val="Número de página"/>
          <w:b w:val="1"/>
          <w:bCs w:val="1"/>
          <w:rtl w:val="0"/>
          <w:lang w:val="pt-PT"/>
        </w:rPr>
        <w:t>Desenvolvimento de a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 de educa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patrimonial com a comunidade e com os turistas que freq</w:t>
      </w:r>
      <w:r>
        <w:rPr>
          <w:rStyle w:val="Número de página"/>
          <w:b w:val="1"/>
          <w:bCs w:val="1"/>
          <w:rtl w:val="0"/>
          <w:lang w:val="pt-PT"/>
        </w:rPr>
        <w:t>ü</w:t>
      </w:r>
      <w:r>
        <w:rPr>
          <w:rStyle w:val="Número de página"/>
          <w:b w:val="1"/>
          <w:bCs w:val="1"/>
          <w:rtl w:val="0"/>
          <w:lang w:val="pt-PT"/>
        </w:rPr>
        <w:t xml:space="preserve">entam a </w:t>
      </w:r>
      <w:r>
        <w:rPr>
          <w:rStyle w:val="Número de página"/>
          <w:b w:val="1"/>
          <w:bCs w:val="1"/>
          <w:rtl w:val="0"/>
          <w:lang w:val="pt-PT"/>
        </w:rPr>
        <w:t>á</w:t>
      </w:r>
      <w:r>
        <w:rPr>
          <w:rStyle w:val="Número de página"/>
          <w:b w:val="1"/>
          <w:bCs w:val="1"/>
          <w:rtl w:val="0"/>
          <w:lang w:val="pt-PT"/>
        </w:rPr>
        <w:t>rea, para que possam conhecer e se apropriar de forma consciente e sustent</w:t>
      </w:r>
      <w:r>
        <w:rPr>
          <w:rStyle w:val="Número de página"/>
          <w:b w:val="1"/>
          <w:bCs w:val="1"/>
          <w:rtl w:val="0"/>
          <w:lang w:val="pt-PT"/>
        </w:rPr>
        <w:t>á</w:t>
      </w:r>
      <w:r>
        <w:rPr>
          <w:rStyle w:val="Número de página"/>
          <w:b w:val="1"/>
          <w:bCs w:val="1"/>
          <w:rtl w:val="0"/>
          <w:lang w:val="pt-PT"/>
        </w:rPr>
        <w:t>vel do patrim</w:t>
      </w:r>
      <w:r>
        <w:rPr>
          <w:rStyle w:val="Número de página"/>
          <w:b w:val="1"/>
          <w:bCs w:val="1"/>
          <w:rtl w:val="0"/>
          <w:lang w:val="pt-PT"/>
        </w:rPr>
        <w:t>ô</w:t>
      </w:r>
      <w:r>
        <w:rPr>
          <w:rStyle w:val="Número de página"/>
          <w:b w:val="1"/>
          <w:bCs w:val="1"/>
          <w:rtl w:val="0"/>
          <w:lang w:val="pt-PT"/>
        </w:rPr>
        <w:t>nio arqueol</w:t>
      </w:r>
      <w:r>
        <w:rPr>
          <w:rStyle w:val="Número de página"/>
          <w:b w:val="1"/>
          <w:bCs w:val="1"/>
          <w:rtl w:val="0"/>
          <w:lang w:val="pt-PT"/>
        </w:rPr>
        <w:t>ó</w:t>
      </w:r>
      <w:r>
        <w:rPr>
          <w:rStyle w:val="Número de página"/>
          <w:b w:val="1"/>
          <w:bCs w:val="1"/>
          <w:rtl w:val="0"/>
          <w:lang w:val="pt-PT"/>
        </w:rPr>
        <w:t>gico da regi</w:t>
      </w:r>
      <w:r>
        <w:rPr>
          <w:rStyle w:val="Número de página"/>
          <w:b w:val="1"/>
          <w:bCs w:val="1"/>
          <w:rtl w:val="0"/>
          <w:lang w:val="pt-PT"/>
        </w:rPr>
        <w:t>ã</w:t>
      </w:r>
      <w:r>
        <w:rPr>
          <w:rStyle w:val="Número de página"/>
          <w:b w:val="1"/>
          <w:bCs w:val="1"/>
          <w:rtl w:val="0"/>
          <w:lang w:val="pt-PT"/>
        </w:rPr>
        <w:t xml:space="preserve">o. </w:t>
      </w:r>
    </w:p>
    <w:p>
      <w:pPr>
        <w:pStyle w:val="Corpo de texto 3"/>
        <w:rPr>
          <w:rStyle w:val="Número de página"/>
          <w:lang w:val="pt-PT"/>
        </w:rPr>
      </w:pPr>
    </w:p>
    <w:p>
      <w:pPr>
        <w:pStyle w:val="Corpo de texto 3"/>
        <w:rPr>
          <w:rStyle w:val="Número de página"/>
          <w:lang w:val="pt-PT"/>
        </w:rPr>
      </w:pPr>
    </w:p>
    <w:p>
      <w:pPr>
        <w:pStyle w:val="Normal.0"/>
        <w:ind w:firstLine="360"/>
        <w:jc w:val="both"/>
        <w:rPr>
          <w:b w:val="1"/>
          <w:bCs w:val="1"/>
        </w:rPr>
      </w:pPr>
      <w:r>
        <w:rPr>
          <w:rStyle w:val="Número de página"/>
          <w:rtl w:val="0"/>
          <w:lang w:val="pt-PT"/>
        </w:rPr>
        <w:t xml:space="preserve"> </w:t>
      </w:r>
      <w:r>
        <w:rPr>
          <w:b w:val="1"/>
          <w:bCs w:val="1"/>
          <w:rtl w:val="0"/>
          <w:lang w:val="pt-PT"/>
        </w:rPr>
        <w:t>8-  ENCERRAMENTO</w:t>
      </w:r>
    </w:p>
    <w:p>
      <w:pPr>
        <w:pStyle w:val="Normal.0"/>
        <w:jc w:val="both"/>
      </w:pPr>
    </w:p>
    <w:p>
      <w:pPr>
        <w:pStyle w:val="Normal.0"/>
        <w:ind w:firstLine="709"/>
        <w:jc w:val="both"/>
      </w:pPr>
      <w:r>
        <w:rPr>
          <w:rStyle w:val="Número de página"/>
          <w:rtl w:val="0"/>
          <w:lang w:val="pt-PT"/>
        </w:rPr>
        <w:t>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essas as considera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do Setor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cnico desta Promotoria, que se coloca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disposi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para o que mais se fizer necess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rio. </w:t>
      </w:r>
    </w:p>
    <w:p>
      <w:pPr>
        <w:pStyle w:val="Normal.0"/>
        <w:ind w:firstLine="2160"/>
      </w:pPr>
    </w:p>
    <w:p>
      <w:pPr>
        <w:pStyle w:val="Normal.0"/>
        <w:ind w:firstLine="2160"/>
      </w:pPr>
    </w:p>
    <w:p>
      <w:pPr>
        <w:pStyle w:val="Normal.0"/>
        <w:ind w:firstLine="2160"/>
        <w:jc w:val="right"/>
      </w:pPr>
      <w:r>
        <w:rPr>
          <w:rStyle w:val="Número de página"/>
          <w:rtl w:val="0"/>
          <w:lang w:val="pt-PT"/>
        </w:rPr>
        <w:t>Belo Horizonte, 07 de agosto de 2015.</w:t>
      </w:r>
    </w:p>
    <w:p>
      <w:pPr>
        <w:pStyle w:val="Normal.0"/>
        <w:jc w:val="center"/>
      </w:pPr>
    </w:p>
    <w:p>
      <w:pPr>
        <w:pStyle w:val="Normal.0"/>
        <w:jc w:val="center"/>
      </w:pPr>
    </w:p>
    <w:p>
      <w:pPr>
        <w:pStyle w:val="Normal.0"/>
        <w:jc w:val="center"/>
      </w:pPr>
      <w:r>
        <w:rPr>
          <w:rStyle w:val="Número de página"/>
          <w:rtl w:val="0"/>
          <w:lang w:val="pt-PT"/>
        </w:rPr>
        <w:t>Neise Mendes Duarte</w:t>
      </w:r>
    </w:p>
    <w:p>
      <w:pPr>
        <w:pStyle w:val="Normal.0"/>
        <w:ind w:left="360" w:firstLine="0"/>
        <w:jc w:val="center"/>
      </w:pPr>
      <w:r>
        <w:rPr>
          <w:rStyle w:val="Número de página"/>
          <w:rtl w:val="0"/>
          <w:lang w:val="pt-PT"/>
        </w:rPr>
        <w:t>Analista do Minist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rio P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 xml:space="preserve">blico </w:t>
      </w:r>
      <w:r>
        <w:rPr>
          <w:rStyle w:val="Número de página"/>
          <w:rtl w:val="0"/>
          <w:lang w:val="pt-PT"/>
        </w:rPr>
        <w:t xml:space="preserve">– </w:t>
      </w:r>
      <w:r>
        <w:rPr>
          <w:rStyle w:val="Número de página"/>
          <w:rtl w:val="0"/>
          <w:lang w:val="pt-PT"/>
        </w:rPr>
        <w:t xml:space="preserve">Historiadora </w:t>
      </w:r>
      <w:r>
        <w:rPr>
          <w:rStyle w:val="Número de página"/>
          <w:rtl w:val="0"/>
          <w:lang w:val="pt-PT"/>
        </w:rPr>
        <w:t xml:space="preserve">– </w:t>
      </w:r>
      <w:r>
        <w:rPr>
          <w:rStyle w:val="Número de página"/>
          <w:rtl w:val="0"/>
          <w:lang w:val="pt-PT"/>
        </w:rPr>
        <w:t>MAMP 5011</w:t>
      </w:r>
    </w:p>
    <w:sectPr>
      <w:headerReference w:type="default" r:id="rId29"/>
      <w:footerReference w:type="default" r:id="rId30"/>
      <w:pgSz w:w="11900" w:h="16840" w:orient="portrait"/>
      <w:pgMar w:top="1418" w:right="1418" w:bottom="2875" w:left="1701" w:header="567" w:footer="567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mbri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Rodapé"/>
      <w:tabs>
        <w:tab w:val="right" w:pos="8761"/>
        <w:tab w:val="clear" w:pos="8838"/>
      </w:tabs>
    </w:pPr>
    <w:r/>
  </w:p>
</w:ftr>
</file>

<file path=word/footnotes.xml><?xml version="1.0" encoding="utf-8"?>
<w:footnotes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m="http://schemas.openxmlformats.org/officeDocument/2006/math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  <w:footnote w:type="continuationNotice" w:id="-2">
    <w:p>
      <w:r>
        <w:t/>
      </w:r>
    </w:p>
  </w:footnote>
  <w:footnote w:id="1">
    <w:p>
      <w:pPr>
        <w:pStyle w:val="Texto de nota de rodapé,Texto de nota de rodapé1"/>
        <w:jc w:val="both"/>
      </w:pPr>
      <w:r>
        <w:rPr>
          <w:rStyle w:val="Caracteres de nota de rodapé"/>
        </w:rPr>
        <w:footnoteRef/>
      </w:r>
      <w:r>
        <w:rPr>
          <w:rStyle w:val="Número de página"/>
          <w:rtl w:val="0"/>
          <w:lang w:val="pt-PT"/>
        </w:rPr>
        <w:t xml:space="preserve"> Atual Serra de Ouro Branco, que possui tombamento estadual na categoria de Conjunto Paisag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stico. Decreto de Tombamento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19.530, de 07 de novembro de 1978.</w:t>
      </w:r>
    </w:p>
  </w:footnote>
  <w:footnote w:id="2">
    <w:p>
      <w:pPr>
        <w:pStyle w:val="Texto de nota de rodapé,Texto de nota de rodapé1"/>
        <w:jc w:val="both"/>
      </w:pPr>
      <w:r>
        <w:rPr>
          <w:rStyle w:val="Caracteres de nota de rodapé"/>
        </w:rPr>
        <w:footnoteRef/>
      </w:r>
      <w:r>
        <w:rPr>
          <w:rStyle w:val="Número de página"/>
          <w:rtl w:val="0"/>
          <w:lang w:val="pt-PT"/>
        </w:rPr>
        <w:t xml:space="preserve"> Dispon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vel em </w:t>
      </w:r>
      <w:r>
        <w:rPr>
          <w:outline w:val="0"/>
          <w:color w:val="525252"/>
          <w:u w:color="525252"/>
          <w:rtl w:val="0"/>
          <w:lang w:val="pt-PT"/>
          <w14:textFill>
            <w14:solidFill>
              <w14:srgbClr w14:val="525252"/>
            </w14:solidFill>
          </w14:textFill>
        </w:rPr>
        <w:t xml:space="preserve"> </w:t>
      </w:r>
      <w:r>
        <w:rPr>
          <w:rStyle w:val="Link"/>
        </w:rPr>
        <w:fldChar w:fldCharType="begin" w:fldLock="0"/>
      </w:r>
      <w:r>
        <w:rPr>
          <w:rStyle w:val="Link"/>
        </w:rPr>
        <w:instrText xml:space="preserve"> HYPERLINK "http://www.ourobranco.mg.gov.br/mat_vis.aspx?cd=6495"</w:instrText>
      </w:r>
      <w:r>
        <w:rPr>
          <w:rStyle w:val="Link"/>
        </w:rPr>
        <w:fldChar w:fldCharType="separate" w:fldLock="0"/>
      </w:r>
      <w:r>
        <w:rPr>
          <w:rStyle w:val="Link"/>
          <w:rtl w:val="0"/>
          <w:lang w:val="pt-PT"/>
        </w:rPr>
        <w:t>http://www.ourobranco.mg.gov.br/mat_vis.aspx?cd=6495</w:t>
      </w:r>
      <w:r>
        <w:rPr/>
        <w:fldChar w:fldCharType="end" w:fldLock="0"/>
      </w:r>
      <w:r>
        <w:rPr>
          <w:rStyle w:val="Número de página"/>
          <w:rtl w:val="0"/>
          <w:lang w:val="pt-PT"/>
        </w:rPr>
        <w:t>. Acesso fevereiro de 2011.</w:t>
      </w:r>
    </w:p>
  </w:footnote>
  <w:footnote w:id="3">
    <w:p>
      <w:pPr>
        <w:pStyle w:val="Texto de nota de rodapé,Texto de nota de rodapé1"/>
        <w:jc w:val="both"/>
      </w:pPr>
      <w:r>
        <w:rPr>
          <w:rStyle w:val="Caracteres de nota de rodapé"/>
        </w:rPr>
        <w:footnoteRef/>
      </w:r>
      <w:r>
        <w:rPr>
          <w:rStyle w:val="Número de página"/>
          <w:rtl w:val="0"/>
          <w:lang w:val="pt-PT"/>
        </w:rPr>
        <w:t xml:space="preserve"> BARBOSA, Waldemar de Almeida. Dicion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rio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rico-Geogr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fico de Minas Gerais. Editora Itatiaia Ltda, Belo Horizonte, 1995.</w:t>
      </w:r>
    </w:p>
  </w:footnote>
  <w:footnote w:id="4">
    <w:p>
      <w:pPr>
        <w:pStyle w:val="Texto de nota de rodapé,Texto de nota de rodapé1"/>
      </w:pPr>
      <w:r>
        <w:rPr>
          <w:vertAlign w:val="superscript"/>
        </w:rPr>
        <w:footnoteRef/>
      </w:r>
      <w:r>
        <w:rPr>
          <w:rStyle w:val="Número de página"/>
          <w:rFonts w:cs="Arial Unicode MS" w:eastAsia="Arial Unicode MS"/>
          <w:rtl w:val="0"/>
          <w:lang w:val="pt-PT"/>
        </w:rPr>
        <w:t xml:space="preserve"> </w:t>
      </w:r>
      <w:r>
        <w:rPr>
          <w:rStyle w:val="Link"/>
        </w:rPr>
        <w:fldChar w:fldCharType="begin" w:fldLock="0"/>
      </w:r>
      <w:r>
        <w:rPr>
          <w:rStyle w:val="Link"/>
        </w:rPr>
        <w:instrText xml:space="preserve"> HYPERLINK "http://www.ibge.gov.br/cidadesat"</w:instrText>
      </w:r>
      <w:r>
        <w:rPr>
          <w:rStyle w:val="Link"/>
        </w:rPr>
        <w:fldChar w:fldCharType="separate" w:fldLock="0"/>
      </w:r>
      <w:r>
        <w:rPr>
          <w:rStyle w:val="Link"/>
          <w:rFonts w:cs="Arial Unicode MS" w:eastAsia="Arial Unicode MS"/>
          <w:rtl w:val="0"/>
        </w:rPr>
        <w:t>http://www.ibge.gov.br/cidadesat</w:t>
      </w:r>
      <w:r>
        <w:rPr/>
        <w:fldChar w:fldCharType="end" w:fldLock="0"/>
      </w:r>
      <w:r>
        <w:rPr>
          <w:rFonts w:cs="Arial Unicode MS" w:eastAsia="Arial Unicode MS"/>
          <w:outline w:val="0"/>
          <w:color w:val="0000ff"/>
          <w:u w:color="0000ff"/>
          <w:rtl w:val="0"/>
          <w:lang w:val="pt-PT"/>
          <w14:textFill>
            <w14:solidFill>
              <w14:srgbClr w14:val="0000FF"/>
            </w14:solidFill>
          </w14:textFill>
        </w:rPr>
        <w:t xml:space="preserve">. </w:t>
      </w:r>
      <w:r>
        <w:rPr>
          <w:rStyle w:val="Número de página"/>
          <w:rFonts w:cs="Arial Unicode MS" w:eastAsia="Arial Unicode MS"/>
          <w:rtl w:val="0"/>
          <w:lang w:val="pt-PT"/>
        </w:rPr>
        <w:t>Acesso fevereiro de 2013.</w:t>
      </w:r>
    </w:p>
  </w:footnote>
  <w:footnote w:id="5">
    <w:p>
      <w:pPr>
        <w:pStyle w:val="Texto de nota de rodapé,Texto de nota de rodapé1"/>
      </w:pPr>
      <w:r>
        <w:rPr>
          <w:rStyle w:val="Caracteres de nota de rodapé"/>
        </w:rPr>
        <w:footnoteRef/>
      </w:r>
      <w:r>
        <w:rPr>
          <w:rStyle w:val="Número de página"/>
          <w:rFonts w:cs="Arial Unicode MS" w:eastAsia="Arial Unicode MS"/>
          <w:rtl w:val="0"/>
          <w:lang w:val="pt-PT"/>
        </w:rPr>
        <w:t xml:space="preserve"> </w:t>
      </w:r>
      <w:r>
        <w:rPr>
          <w:rStyle w:val="Link"/>
        </w:rPr>
        <w:fldChar w:fldCharType="begin" w:fldLock="0"/>
      </w:r>
      <w:r>
        <w:rPr>
          <w:rStyle w:val="Link"/>
        </w:rPr>
        <w:instrText xml:space="preserve"> HYPERLINK "http://www.ief.mg.gov.br/parque-estadual/1411"</w:instrText>
      </w:r>
      <w:r>
        <w:rPr>
          <w:rStyle w:val="Link"/>
        </w:rPr>
        <w:fldChar w:fldCharType="separate" w:fldLock="0"/>
      </w:r>
      <w:r>
        <w:rPr>
          <w:rStyle w:val="Link"/>
          <w:rFonts w:cs="Arial Unicode MS" w:eastAsia="Arial Unicode MS"/>
          <w:rtl w:val="0"/>
        </w:rPr>
        <w:t>http://www.ief.mg.gov.br/parque-estadual/1411</w:t>
      </w:r>
      <w:r>
        <w:rPr/>
        <w:fldChar w:fldCharType="end" w:fldLock="0"/>
      </w:r>
      <w:r>
        <w:rPr>
          <w:rStyle w:val="Número de página"/>
          <w:rFonts w:cs="Arial Unicode MS" w:eastAsia="Arial Unicode MS"/>
          <w:rtl w:val="0"/>
          <w:lang w:val="pt-PT"/>
        </w:rPr>
        <w:t>. Acesso 17-07-2015.</w:t>
      </w:r>
    </w:p>
  </w:footnote>
  <w:footnote w:id="6">
    <w:p>
      <w:pPr>
        <w:pStyle w:val="Texto de nota de rodapé,Texto de nota de rodapé1"/>
      </w:pPr>
      <w:r>
        <w:rPr>
          <w:rStyle w:val="Caracteres de nota de rodapé"/>
        </w:rPr>
        <w:footnoteRef/>
      </w:r>
      <w:r>
        <w:rPr>
          <w:rStyle w:val="Número de página"/>
          <w:rFonts w:cs="Arial Unicode MS" w:eastAsia="Arial Unicode MS"/>
          <w:rtl w:val="0"/>
          <w:lang w:val="pt-PT"/>
        </w:rPr>
        <w:t xml:space="preserve"> Carta para Prote</w:t>
      </w:r>
      <w:r>
        <w:rPr>
          <w:rStyle w:val="Número de página"/>
          <w:rFonts w:cs="Arial Unicode MS" w:eastAsia="Arial Unicode MS" w:hint="default"/>
          <w:rtl w:val="0"/>
          <w:lang w:val="pt-PT"/>
        </w:rPr>
        <w:t>çã</w:t>
      </w:r>
      <w:r>
        <w:rPr>
          <w:rStyle w:val="Número de página"/>
          <w:rFonts w:cs="Arial Unicode MS" w:eastAsia="Arial Unicode MS"/>
          <w:rtl w:val="0"/>
          <w:lang w:val="pt-PT"/>
        </w:rPr>
        <w:t>o e a Gest</w:t>
      </w:r>
      <w:r>
        <w:rPr>
          <w:rStyle w:val="Número de página"/>
          <w:rFonts w:cs="Arial Unicode MS" w:eastAsia="Arial Unicode MS" w:hint="default"/>
          <w:rtl w:val="0"/>
          <w:lang w:val="pt-PT"/>
        </w:rPr>
        <w:t>ã</w:t>
      </w:r>
      <w:r>
        <w:rPr>
          <w:rStyle w:val="Número de página"/>
          <w:rFonts w:cs="Arial Unicode MS" w:eastAsia="Arial Unicode MS"/>
          <w:rtl w:val="0"/>
          <w:lang w:val="pt-PT"/>
        </w:rPr>
        <w:t>o do Patrim</w:t>
      </w:r>
      <w:r>
        <w:rPr>
          <w:rStyle w:val="Número de página"/>
          <w:rFonts w:cs="Arial Unicode MS" w:eastAsia="Arial Unicode MS" w:hint="default"/>
          <w:rtl w:val="0"/>
          <w:lang w:val="pt-PT"/>
        </w:rPr>
        <w:t>ô</w:t>
      </w:r>
      <w:r>
        <w:rPr>
          <w:rStyle w:val="Número de página"/>
          <w:rFonts w:cs="Arial Unicode MS" w:eastAsia="Arial Unicode MS"/>
          <w:rtl w:val="0"/>
          <w:lang w:val="pt-PT"/>
        </w:rPr>
        <w:t>nio Arqueol</w:t>
      </w:r>
      <w:r>
        <w:rPr>
          <w:rStyle w:val="Número de página"/>
          <w:rFonts w:cs="Arial Unicode MS" w:eastAsia="Arial Unicode MS" w:hint="default"/>
          <w:rtl w:val="0"/>
          <w:lang w:val="pt-PT"/>
        </w:rPr>
        <w:t>ó</w:t>
      </w:r>
      <w:r>
        <w:rPr>
          <w:rStyle w:val="Número de página"/>
          <w:rFonts w:cs="Arial Unicode MS" w:eastAsia="Arial Unicode MS"/>
          <w:rtl w:val="0"/>
          <w:lang w:val="pt-PT"/>
        </w:rPr>
        <w:t>gico. ICOMOS/ICAHM. Laussane. 1990.</w:t>
      </w:r>
    </w:p>
  </w:footnote>
</w:footnotes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Cabeçalho"/>
      <w:tabs>
        <w:tab w:val="right" w:pos="8761"/>
        <w:tab w:val="clear" w:pos="8838"/>
      </w:tabs>
      <w:jc w:val="right"/>
      <w:rPr>
        <w:rStyle w:val="Número de página"/>
      </w:rPr>
    </w:pPr>
    <w:r>
      <mc:AlternateContent>
        <mc:Choice Requires="wpg">
          <w:drawing xmlns:a="http://schemas.openxmlformats.org/drawingml/2006/main"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851535</wp:posOffset>
              </wp:positionH>
              <wp:positionV relativeFrom="page">
                <wp:posOffset>8851900</wp:posOffset>
              </wp:positionV>
              <wp:extent cx="5638800" cy="685800"/>
              <wp:effectExtent l="0" t="0" r="0" b="0"/>
              <wp:wrapNone/>
              <wp:docPr id="1073741829" name="officeArt object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38800" cy="685800"/>
                        <a:chOff x="0" y="0"/>
                        <a:chExt cx="5638800" cy="685800"/>
                      </a:xfrm>
                    </wpg:grpSpPr>
                    <wps:wsp>
                      <wps:cNvPr id="1073741826" name="Shape 1073741826"/>
                      <wps:cNvSpPr txBox="1"/>
                      <wps:spPr>
                        <a:xfrm>
                          <a:off x="0" y="0"/>
                          <a:ext cx="5638800" cy="685800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Rodapé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269464" cy="487668"/>
                                  <wp:effectExtent l="0" t="0" r="0" b="0"/>
                                  <wp:docPr id="107374182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7" name="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9464" cy="487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cs="Arial Unicode MS" w:eastAsia="Arial Unicode MS"/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  <wps:wsp>
                      <wps:cNvPr id="1073741828" name="Shape 1073741828"/>
                      <wps:cNvSpPr txBox="1"/>
                      <wps:spPr>
                        <a:xfrm>
                          <a:off x="1341120" y="114300"/>
                          <a:ext cx="4175761" cy="45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Rodapé"/>
                              <w:jc w:val="center"/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Rua Timbiras, n.</w:t>
                            </w: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° </w:t>
                            </w: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2941 - Barro Preto -  Belo Horizonte</w:t>
                            </w: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–</w:t>
                            </w: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MG - CEP 30140-062 </w:t>
                            </w:r>
                          </w:p>
                          <w:p>
                            <w:pPr>
                              <w:pStyle w:val="Normal.0"/>
                            </w:pP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  Telefax (</w:t>
                            </w:r>
                            <w:r>
                              <w:rPr>
                                <w:sz w:val="20"/>
                                <w:szCs w:val="20"/>
                                <w:rtl w:val="0"/>
                                <w:lang w:val="pt-PT"/>
                              </w:rPr>
                              <w:t xml:space="preserve">31) 3250-4620 </w:t>
                            </w:r>
                            <w:r>
                              <w:rPr>
                                <w:sz w:val="20"/>
                                <w:szCs w:val="20"/>
                                <w:rtl w:val="0"/>
                                <w:lang w:val="pt-PT"/>
                              </w:rPr>
                              <w:t>–</w:t>
                            </w:r>
                            <w:r>
                              <w:rPr>
                                <w:outline w:val="0"/>
                                <w:color w:val="000000"/>
                                <w:sz w:val="20"/>
                                <w:szCs w:val="20"/>
                                <w:u w:color="000000"/>
                                <w:rtl w:val="0"/>
                                <w:lang w:val="pt-PT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 E-mail: cppc@mp.mg.gov.br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style="visibility:visible;position:absolute;margin-left:67.1pt;margin-top:697.0pt;width:444.0pt;height:54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638800,685800">
              <w10:wrap type="none" side="bothSides" anchorx="page" anchory="page"/>
              <v:shape id="_x0000_s1027" type="#_x0000_t202" style="position:absolute;left:0;top:0;width:5638800;height:685800;">
                <v:fill on="f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Rodapé"/>
                      </w:pPr>
                      <w:r>
                        <w:drawing xmlns:a="http://schemas.openxmlformats.org/drawingml/2006/main">
                          <wp:inline distT="0" distB="0" distL="0" distR="0">
                            <wp:extent cx="1269464" cy="487668"/>
                            <wp:effectExtent l="0" t="0" r="0" b="0"/>
                            <wp:docPr id="1073741827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27" name=""/>
                                    <pic:cNvPicPr>
                                      <a:picLocks noChangeAspect="0"/>
                                    </pic:cNvPicPr>
                                  </pic:nvPicPr>
                                  <pic:blipFill>
                                    <a:blip r:embed="rId1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9464" cy="4876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cs="Arial Unicode MS" w:eastAsia="Arial Unicode MS"/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  <v:shape id="_x0000_s1028" type="#_x0000_t202" style="position:absolute;left:1341120;top:114300;width:4175760;height:457200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Rodapé"/>
                        <w:jc w:val="center"/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Rua Timbiras, n.</w:t>
                      </w: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° </w:t>
                      </w: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2941 - Barro Preto -  Belo Horizonte</w:t>
                      </w: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–</w:t>
                      </w: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MG - CEP 30140-062 </w:t>
                      </w:r>
                    </w:p>
                    <w:p>
                      <w:pPr>
                        <w:pStyle w:val="Normal.0"/>
                      </w:pP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  Telefax (</w:t>
                      </w:r>
                      <w:r>
                        <w:rPr>
                          <w:sz w:val="20"/>
                          <w:szCs w:val="20"/>
                          <w:rtl w:val="0"/>
                          <w:lang w:val="pt-PT"/>
                        </w:rPr>
                        <w:t xml:space="preserve">31) 3250-4620 </w:t>
                      </w:r>
                      <w:r>
                        <w:rPr>
                          <w:sz w:val="20"/>
                          <w:szCs w:val="20"/>
                          <w:rtl w:val="0"/>
                          <w:lang w:val="pt-PT"/>
                        </w:rPr>
                        <w:t>–</w:t>
                      </w:r>
                      <w:r>
                        <w:rPr>
                          <w:outline w:val="0"/>
                          <w:color w:val="000000"/>
                          <w:sz w:val="20"/>
                          <w:szCs w:val="20"/>
                          <w:u w:color="000000"/>
                          <w:rtl w:val="0"/>
                          <w:lang w:val="pt-PT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 E-mail: cppc@mp.mg.gov.br</w:t>
                      </w:r>
                    </w:p>
                  </w:txbxContent>
                </v:textbox>
              </v:shape>
            </v:group>
          </w:pict>
        </mc:Fallback>
      </mc:AlternateContent>
    </w:r>
    <w:r>
      <w:rPr>
        <w:rtl w:val="0"/>
      </w:rPr>
      <w:fldChar w:fldCharType="begin" w:fldLock="0"/>
    </w:r>
    <w:r>
      <w:rPr>
        <w:rtl w:val="0"/>
      </w:rPr>
      <w:instrText xml:space="preserve"> PAGE </w:instrText>
    </w:r>
    <w:r>
      <w:rPr>
        <w:rtl w:val="0"/>
      </w:rPr>
      <w:fldChar w:fldCharType="separate" w:fldLock="0"/>
    </w:r>
    <w:r>
      <w:rPr>
        <w:rtl w:val="0"/>
      </w:rPr>
      <w:fldChar w:fldCharType="end" w:fldLock="0"/>
    </w:r>
  </w:p>
  <w:p>
    <w:pPr>
      <w:pStyle w:val="Cabeçalho"/>
      <w:tabs>
        <w:tab w:val="center" w:pos="1331"/>
        <w:tab w:val="right" w:pos="1561"/>
        <w:tab w:val="clear" w:pos="4419"/>
        <w:tab w:val="clear" w:pos="8838"/>
      </w:tabs>
      <w:ind w:right="360"/>
      <w:jc w:val="center"/>
      <w:rPr>
        <w:b w:val="1"/>
        <w:bCs w:val="1"/>
      </w:rPr>
    </w:pPr>
    <w:r>
      <w:rPr>
        <w:b w:val="1"/>
        <w:bCs w:val="1"/>
      </w:rPr>
      <w:drawing xmlns:a="http://schemas.openxmlformats.org/drawingml/2006/main">
        <wp:inline distT="0" distB="0" distL="0" distR="0">
          <wp:extent cx="2134210" cy="86685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.png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34210" cy="86685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  <w:p>
    <w:pPr>
      <w:pStyle w:val="Cabeçalho"/>
      <w:tabs>
        <w:tab w:val="right" w:pos="8761"/>
        <w:tab w:val="clear" w:pos="8838"/>
      </w:tabs>
      <w:jc w:val="center"/>
    </w:pPr>
    <w:r>
      <w:rPr>
        <w:rFonts w:ascii="Cambria" w:hAnsi="Cambria"/>
        <w:b w:val="1"/>
        <w:bCs w:val="1"/>
        <w:rtl w:val="0"/>
        <w:lang w:val="pt-PT"/>
      </w:rPr>
      <w:t>Promotoria Estadual de Defesa do Patrim</w:t>
    </w:r>
    <w:r>
      <w:rPr>
        <w:rFonts w:ascii="Cambria" w:hAnsi="Cambria" w:hint="default"/>
        <w:b w:val="1"/>
        <w:bCs w:val="1"/>
        <w:rtl w:val="0"/>
        <w:lang w:val="pt-PT"/>
      </w:rPr>
      <w:t>ô</w:t>
    </w:r>
    <w:r>
      <w:rPr>
        <w:rFonts w:ascii="Cambria" w:hAnsi="Cambria"/>
        <w:b w:val="1"/>
        <w:bCs w:val="1"/>
        <w:rtl w:val="0"/>
        <w:lang w:val="pt-PT"/>
      </w:rPr>
      <w:t>nio Cultural e Tur</w:t>
    </w:r>
    <w:r>
      <w:rPr>
        <w:rFonts w:ascii="Cambria" w:hAnsi="Cambria" w:hint="default"/>
        <w:b w:val="1"/>
        <w:bCs w:val="1"/>
        <w:rtl w:val="0"/>
        <w:lang w:val="pt-PT"/>
      </w:rPr>
      <w:t>í</w:t>
    </w:r>
    <w:r>
      <w:rPr>
        <w:rFonts w:ascii="Cambria" w:hAnsi="Cambria"/>
        <w:b w:val="1"/>
        <w:bCs w:val="1"/>
        <w:rtl w:val="0"/>
        <w:lang w:val="pt-PT"/>
      </w:rPr>
      <w:t>stico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Estilo Importado 1"/>
  </w:abstractNum>
  <w:abstractNum w:abstractNumId="1">
    <w:multiLevelType w:val="hybridMultilevel"/>
    <w:styleLink w:val="Estilo Importado 1"/>
    <w:lvl w:ilvl="0">
      <w:start w:val="1"/>
      <w:numFmt w:val="decimal"/>
      <w:suff w:val="tab"/>
      <w:lvlText w:val="%1."/>
      <w:lvlJc w:val="left"/>
      <w:pPr>
        <w:ind w:left="72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720"/>
        </w:tabs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720"/>
        </w:tabs>
        <w:ind w:left="216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20"/>
        </w:tabs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720"/>
        </w:tabs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720"/>
        </w:tabs>
        <w:ind w:left="432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20"/>
        </w:tabs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720"/>
        </w:tabs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720"/>
        </w:tabs>
        <w:ind w:left="648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Estilo Importado 2"/>
  </w:abstractNum>
  <w:abstractNum w:abstractNumId="3">
    <w:multiLevelType w:val="hybridMultilevel"/>
    <w:styleLink w:val="Estilo Importado 2"/>
    <w:lvl w:ilvl="0">
      <w:start w:val="1"/>
      <w:numFmt w:val="bullet"/>
      <w:suff w:val="tab"/>
      <w:lvlText w:val="-"/>
      <w:lvlJc w:val="left"/>
      <w:pPr>
        <w:ind w:left="72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720"/>
        </w:tabs>
        <w:ind w:left="14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20"/>
        </w:tabs>
        <w:ind w:left="21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20"/>
        </w:tabs>
        <w:ind w:left="288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20"/>
        </w:tabs>
        <w:ind w:left="360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20"/>
        </w:tabs>
        <w:ind w:left="432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20"/>
        </w:tabs>
        <w:ind w:left="50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20"/>
        </w:tabs>
        <w:ind w:left="57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20"/>
        </w:tabs>
        <w:ind w:left="648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Estilo Importado 3"/>
  </w:abstractNum>
  <w:abstractNum w:abstractNumId="5">
    <w:multiLevelType w:val="hybridMultilevel"/>
    <w:styleLink w:val="Estilo Importado 3"/>
    <w:lvl w:ilvl="0">
      <w:start w:val="1"/>
      <w:numFmt w:val="decimal"/>
      <w:suff w:val="tab"/>
      <w:lvlText w:val="%1."/>
      <w:lvlJc w:val="left"/>
      <w:pPr>
        <w:ind w:left="72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720"/>
        </w:tabs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720"/>
        </w:tabs>
        <w:ind w:left="216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20"/>
        </w:tabs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720"/>
        </w:tabs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720"/>
        </w:tabs>
        <w:ind w:left="432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20"/>
        </w:tabs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720"/>
        </w:tabs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720"/>
        </w:tabs>
        <w:ind w:left="6480" w:hanging="30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startOverride w:val="7"/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português" w:val="‘“(〔[{〈《「『【⦅〘〖«〝︵︷︹︻︽︿﹁﹃﹇﹙﹛﹝｢"/>
  <w:noLineBreaksBefore w:lang="português" w:val="’”)〕]}〉"/>
  <w:footnotePr>
    <w:numFmt w:val="decimal"/>
    <w:numStart w:val="1"/>
    <w:numRestart w:val="continuous"/>
    <w:footnote w:id="-1"/>
    <w:footnote w:id="0"/>
    <w:footnote w:id="-2"/>
  </w:footnotePr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abeçalho">
    <w:name w:val="Cabeçalho"/>
    <w:next w:val="Cabeçalho"/>
    <w:pPr>
      <w:keepNext w:val="0"/>
      <w:keepLines w:val="0"/>
      <w:pageBreakBefore w:val="0"/>
      <w:widowControl w:val="1"/>
      <w:shd w:val="clear" w:color="auto" w:fill="auto"/>
      <w:tabs>
        <w:tab w:val="center" w:pos="4419"/>
        <w:tab w:val="right" w:pos="88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Outline>
        <w14:noFill/>
      </w14:textOutline>
      <w14:textFill>
        <w14:solidFill>
          <w14:srgbClr w14:val="000000"/>
        </w14:solidFill>
      </w14:textFill>
    </w:rPr>
  </w:style>
  <w:style w:type="character" w:styleId="Número de página">
    <w:name w:val="Número de página"/>
  </w:style>
  <w:style w:type="paragraph" w:styleId="Rodapé">
    <w:name w:val="Rodapé"/>
    <w:next w:val="Rodapé"/>
    <w:pPr>
      <w:keepNext w:val="0"/>
      <w:keepLines w:val="0"/>
      <w:pageBreakBefore w:val="0"/>
      <w:widowControl w:val="1"/>
      <w:shd w:val="clear" w:color="auto" w:fill="auto"/>
      <w:tabs>
        <w:tab w:val="center" w:pos="4419"/>
        <w:tab w:val="right" w:pos="88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Outline>
        <w14:noFill/>
      </w14:textOutline>
      <w14:textFill>
        <w14:solidFill>
          <w14:srgbClr w14:val="000000"/>
        </w14:solidFill>
      </w14:textFill>
    </w:rPr>
  </w:style>
  <w:style w:type="paragraph" w:styleId="Título 3">
    <w:name w:val="Título 3"/>
    <w:next w:val="Normal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2"/>
    </w:pPr>
    <w:rPr>
      <w:rFonts w:ascii="Times New Roman" w:cs="Arial Unicode MS" w:hAnsi="Times New Roma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numbering" w:styleId="Estilo Importado 1">
    <w:name w:val="Estilo Importado 1"/>
    <w:pPr>
      <w:numPr>
        <w:numId w:val="1"/>
      </w:numPr>
    </w:pPr>
  </w:style>
  <w:style w:type="paragraph" w:styleId="Corpo de texto 3">
    <w:name w:val="Corpo de texto 3"/>
    <w:next w:val="Corpo de texto 3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both"/>
      <w:outlineLvl w:val="9"/>
    </w:pPr>
    <w:rPr>
      <w:rFonts w:ascii="Times New Roman" w:cs="Arial Unicode MS" w:hAnsi="Times New Roma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character" w:styleId="Link">
    <w:name w:val="Link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character" w:styleId="Hyperlink.0">
    <w:name w:val="Hyperlink.0"/>
    <w:basedOn w:val="Link"/>
    <w:next w:val="Hyperlink.0"/>
    <w:rPr>
      <w:rFonts w:ascii="Times New Roman" w:cs="Times New Roman" w:hAnsi="Times New Roman" w:eastAsia="Times New Roman"/>
      <w:shd w:val="nil" w:color="auto" w:fill="auto"/>
      <w:lang w:val="pt-PT"/>
    </w:rPr>
  </w:style>
  <w:style w:type="numbering" w:styleId="Estilo Importado 2">
    <w:name w:val="Estilo Importado 2"/>
    <w:pPr>
      <w:numPr>
        <w:numId w:val="3"/>
      </w:numPr>
    </w:pPr>
  </w:style>
  <w:style w:type="character" w:styleId="Caracteres de nota de rodapé">
    <w:name w:val="Caracteres de nota de rodapé"/>
    <w:rPr>
      <w:vertAlign w:val="superscript"/>
    </w:rPr>
  </w:style>
  <w:style w:type="paragraph" w:styleId="Texto de nota de rodapé,Texto de nota de rodapé1">
    <w:name w:val="Texto de nota de rodapé"/>
    <w:next w:val="Texto de nota de rodapé,Texto de nota de rodapé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Normal (Web)">
    <w:name w:val="Normal (Web)"/>
    <w:next w:val="Normal (Web)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character" w:styleId="Hyperlink.1">
    <w:name w:val="Hyperlink.1"/>
    <w:basedOn w:val="Link"/>
    <w:next w:val="Hyperlink.1"/>
    <w:rPr>
      <w:rFonts w:ascii="Times New Roman" w:cs="Times New Roman" w:hAnsi="Times New Roman" w:eastAsia="Times New Roman"/>
      <w:sz w:val="22"/>
      <w:szCs w:val="22"/>
      <w:shd w:val="nil" w:color="auto" w:fill="auto"/>
      <w:lang w:val="pt-PT"/>
    </w:rPr>
  </w:style>
  <w:style w:type="paragraph" w:styleId="Título 7">
    <w:name w:val="Título 7"/>
    <w:next w:val="Normal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360" w:right="0" w:firstLine="0"/>
      <w:jc w:val="both"/>
      <w:outlineLvl w:val="2"/>
    </w:pPr>
    <w:rPr>
      <w:rFonts w:ascii="Times New Roman" w:cs="Arial Unicode MS" w:hAnsi="Times New Roma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numbering" w:styleId="Estilo Importado 3">
    <w:name w:val="Estilo Importado 3"/>
    <w:pPr>
      <w:numPr>
        <w:numId w:val="5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1.jpeg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7.png"/><Relationship Id="rId16" Type="http://schemas.openxmlformats.org/officeDocument/2006/relationships/image" Target="media/image6.jpeg"/><Relationship Id="rId17" Type="http://schemas.openxmlformats.org/officeDocument/2006/relationships/image" Target="media/image8.png"/><Relationship Id="rId18" Type="http://schemas.openxmlformats.org/officeDocument/2006/relationships/image" Target="media/image7.jpeg"/><Relationship Id="rId19" Type="http://schemas.openxmlformats.org/officeDocument/2006/relationships/image" Target="media/image9.png"/><Relationship Id="rId20" Type="http://schemas.openxmlformats.org/officeDocument/2006/relationships/image" Target="media/image8.jpeg"/><Relationship Id="rId21" Type="http://schemas.openxmlformats.org/officeDocument/2006/relationships/image" Target="media/image9.jpeg"/><Relationship Id="rId22" Type="http://schemas.openxmlformats.org/officeDocument/2006/relationships/image" Target="media/image10.jpeg"/><Relationship Id="rId23" Type="http://schemas.openxmlformats.org/officeDocument/2006/relationships/image" Target="media/image11.jpeg"/><Relationship Id="rId24" Type="http://schemas.openxmlformats.org/officeDocument/2006/relationships/image" Target="media/image12.jpeg"/><Relationship Id="rId25" Type="http://schemas.openxmlformats.org/officeDocument/2006/relationships/image" Target="media/image13.jpeg"/><Relationship Id="rId26" Type="http://schemas.openxmlformats.org/officeDocument/2006/relationships/image" Target="media/image14.jpeg"/><Relationship Id="rId27" Type="http://schemas.openxmlformats.org/officeDocument/2006/relationships/image" Target="media/image10.png"/><Relationship Id="rId28" Type="http://schemas.openxmlformats.org/officeDocument/2006/relationships/image" Target="media/image15.jpeg"/><Relationship Id="rId29" Type="http://schemas.openxmlformats.org/officeDocument/2006/relationships/header" Target="header1.xml"/><Relationship Id="rId30" Type="http://schemas.openxmlformats.org/officeDocument/2006/relationships/footer" Target="footer1.xml"/><Relationship Id="rId31" Type="http://schemas.openxmlformats.org/officeDocument/2006/relationships/footnotes" Target="footnotes.xml"/><Relationship Id="rId32" Type="http://schemas.openxmlformats.org/officeDocument/2006/relationships/numbering" Target="numbering.xml"/><Relationship Id="rId33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1.png"/><Relationship Id="rId2" Type="http://schemas.openxmlformats.org/officeDocument/2006/relationships/image" Target="media/image12.png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