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keepNext/>
        <w:bidi w:val="0"/>
        <w:spacing w:lineRule="auto" w:line="276" w:before="0" w:after="0"/>
        <w:ind w:left="0" w:right="0" w:hanging="0"/>
        <w:jc w:val="center"/>
        <w:rPr>
          <w:rFonts w:ascii="Garamond" w:hAnsi="Garamond" w:eastAsia="Times New Roman" w:cs="Garamond"/>
          <w:b/>
          <w:b/>
          <w:bCs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</w:r>
    </w:p>
    <w:p>
      <w:pPr>
        <w:pStyle w:val="Standard"/>
        <w:bidi w:val="0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 xml:space="preserve">PARECER TÉCNICO nº </w:t>
      </w: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>54</w:t>
      </w: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>/2018</w:t>
      </w:r>
    </w:p>
    <w:p>
      <w:pPr>
        <w:pStyle w:val="Standard"/>
        <w:bidi w:val="0"/>
        <w:spacing w:lineRule="auto" w:line="276" w:before="0" w:after="0"/>
        <w:ind w:left="0" w:right="0" w:hanging="0"/>
        <w:jc w:val="center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</w:r>
    </w:p>
    <w:p>
      <w:pPr>
        <w:pStyle w:val="Standard"/>
        <w:bidi w:val="0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 xml:space="preserve"> </w:t>
      </w: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>PAAF 0024.18.016304-0</w:t>
      </w:r>
    </w:p>
    <w:p>
      <w:pPr>
        <w:pStyle w:val="Standard"/>
        <w:bidi w:val="0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>Inquérito civil nº 0460.15.000089-7</w:t>
      </w:r>
    </w:p>
    <w:p>
      <w:pPr>
        <w:pStyle w:val="Standard"/>
        <w:numPr>
          <w:ilvl w:val="0"/>
          <w:numId w:val="0"/>
        </w:numPr>
        <w:bidi w:val="0"/>
        <w:spacing w:lineRule="auto" w:line="276" w:before="0" w:after="0"/>
        <w:ind w:left="720" w:right="0" w:hanging="0"/>
        <w:jc w:val="both"/>
        <w:rPr>
          <w:rFonts w:ascii="Garamond" w:hAnsi="Garamond" w:eastAsia="Times New Roman" w:cs="Garamond"/>
          <w:b/>
          <w:b/>
          <w:bCs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</w:r>
    </w:p>
    <w:p>
      <w:pPr>
        <w:pStyle w:val="Standard"/>
        <w:widowControl w:val="false"/>
        <w:numPr>
          <w:ilvl w:val="0"/>
          <w:numId w:val="1"/>
        </w:numPr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 xml:space="preserve">Objeto: </w:t>
      </w: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>Rua Floriano Peixoto,  nº 298.</w:t>
      </w:r>
    </w:p>
    <w:p>
      <w:pPr>
        <w:pStyle w:val="Standard"/>
        <w:widowControl w:val="false"/>
        <w:numPr>
          <w:ilvl w:val="0"/>
          <w:numId w:val="0"/>
        </w:numPr>
        <w:bidi w:val="0"/>
        <w:spacing w:lineRule="auto" w:line="276" w:before="0" w:after="0"/>
        <w:ind w:left="720" w:right="0" w:hanging="0"/>
        <w:jc w:val="both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</w:r>
    </w:p>
    <w:p>
      <w:pPr>
        <w:pStyle w:val="Standard"/>
        <w:widowControl w:val="false"/>
        <w:numPr>
          <w:ilvl w:val="0"/>
          <w:numId w:val="1"/>
        </w:numPr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 xml:space="preserve">Município: </w:t>
      </w:r>
      <w:r>
        <w:rPr>
          <w:rFonts w:eastAsia="Times New Roman" w:cs="Garamond" w:ascii="Garamond" w:hAnsi="Garamond"/>
          <w:sz w:val="24"/>
          <w:szCs w:val="24"/>
          <w:lang w:eastAsia="zh-CN"/>
        </w:rPr>
        <w:t>Ouro Fino</w:t>
      </w:r>
    </w:p>
    <w:p>
      <w:pPr>
        <w:pStyle w:val="Standard"/>
        <w:widowControl w:val="false"/>
        <w:numPr>
          <w:ilvl w:val="0"/>
          <w:numId w:val="0"/>
        </w:numPr>
        <w:bidi w:val="0"/>
        <w:spacing w:lineRule="auto" w:line="276" w:before="0" w:after="0"/>
        <w:ind w:right="0" w:hanging="0"/>
        <w:jc w:val="left"/>
        <w:rPr>
          <w:rFonts w:ascii="Garamond" w:hAnsi="Garamond" w:eastAsia="Times New Roman" w:cs="Garamond"/>
          <w:b w:val="false"/>
          <w:b w:val="false"/>
          <w:bCs w:val="false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</w:r>
    </w:p>
    <w:p>
      <w:pPr>
        <w:pStyle w:val="Standard"/>
        <w:widowControl w:val="false"/>
        <w:numPr>
          <w:ilvl w:val="0"/>
          <w:numId w:val="1"/>
        </w:numPr>
        <w:bidi w:val="0"/>
        <w:spacing w:lineRule="auto" w:line="276" w:before="0" w:after="0"/>
        <w:ind w:left="0" w:right="0" w:hanging="0"/>
        <w:jc w:val="both"/>
        <w:rPr/>
      </w:pPr>
      <w:r>
        <w:rPr>
          <w:rStyle w:val="H1"/>
          <w:rFonts w:eastAsia="Times New Roman" w:cs="Garamond" w:ascii="Garamond" w:hAnsi="Garamond"/>
          <w:b/>
          <w:bCs/>
          <w:sz w:val="24"/>
          <w:szCs w:val="24"/>
          <w:shd w:fill="FFFFFF" w:val="clear"/>
          <w:lang w:eastAsia="zh-CN"/>
        </w:rPr>
        <w:t>Considerações Preliminares</w:t>
      </w:r>
    </w:p>
    <w:p>
      <w:pPr>
        <w:pStyle w:val="Standard"/>
        <w:widowControl w:val="false"/>
        <w:bidi w:val="0"/>
        <w:spacing w:lineRule="auto" w:line="276" w:before="0" w:after="0"/>
        <w:ind w:left="0" w:right="0" w:hanging="0"/>
        <w:jc w:val="both"/>
        <w:rPr>
          <w:rStyle w:val="H1"/>
          <w:rFonts w:ascii="Garamond" w:hAnsi="Garamond" w:eastAsia="Times New Roman" w:cs="Garamond"/>
          <w:b/>
          <w:b/>
          <w:bCs/>
          <w:sz w:val="24"/>
          <w:szCs w:val="24"/>
          <w:highlight w:val="white"/>
          <w:lang w:eastAsia="zh-CN"/>
        </w:rPr>
      </w:pPr>
      <w:r>
        <w:rPr>
          <w:rFonts w:eastAsia="Times New Roman" w:cs="Garamond" w:ascii="Garamond" w:hAnsi="Garamond"/>
          <w:b/>
          <w:bCs/>
          <w:sz w:val="24"/>
          <w:szCs w:val="24"/>
          <w:highlight w:val="white"/>
          <w:lang w:eastAsia="zh-CN"/>
        </w:rPr>
      </w:r>
    </w:p>
    <w:p>
      <w:pPr>
        <w:pStyle w:val="Normal"/>
        <w:ind w:firstLine="720"/>
        <w:jc w:val="both"/>
        <w:rPr/>
      </w:pPr>
      <w:r>
        <w:rPr>
          <w:rFonts w:ascii="Garamond" w:hAnsi="Garamond"/>
          <w:b w:val="false"/>
          <w:bCs w:val="false"/>
          <w:sz w:val="24"/>
          <w:szCs w:val="24"/>
        </w:rPr>
        <w:t>Em atendimento ao requerimento da Promotoria de Justiça da Comarca de Ouro Fino, nos dias 11 e 12 de agosto de 2015, foi realizada vistoria técnica no município pelas analistas do Ministério Público, a arquiteta Andréa Lanna Mendes Novais e a historiadora Neise Mendes Duarte.</w:t>
      </w:r>
    </w:p>
    <w:p>
      <w:pPr>
        <w:pStyle w:val="Normal"/>
        <w:widowControl w:val="false"/>
        <w:bidi w:val="0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>Em 19 de agosto de 2015, o setor técnico desta coordenadoria elaborou a Nota Técnica nº 91/2015 sobre a política municipal de proteção ao patrimônio de Ouro Fino.  Foi destacado que o município não estava cumprindo devidamente o cronograma proposto no Plano de Inventário, que teria se iniciado no ano de 2006, com finalização prevista para 2013. O último Quadro II- IPAC apresentado pelo município ao IEPHA correspondia ao exercício 2008 do ICMS Cultural, trazendo uma relação extensa de bens a serem inventariados. Nos exercícios 2013 e 2015, não foi encaminhada documentação ao Instituto.</w:t>
      </w: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 xml:space="preserve"> </w:t>
      </w: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 xml:space="preserve">No exercício 2014, foram encaminhados somente os quadros relativos à legislação, à Educação Patrimonial e ao FUMPAC. </w:t>
      </w:r>
    </w:p>
    <w:p>
      <w:pPr>
        <w:pStyle w:val="Normal"/>
        <w:widowControl w:val="false"/>
        <w:bidi w:val="0"/>
        <w:spacing w:lineRule="auto" w:line="276" w:before="0" w:after="0"/>
        <w:ind w:left="0" w:right="0" w:firstLine="709"/>
        <w:jc w:val="both"/>
        <w:rPr>
          <w:rFonts w:ascii="Garamond" w:hAnsi="Garamond" w:eastAsia="Times New Roman" w:cs="Garamond"/>
          <w:b w:val="false"/>
          <w:b w:val="false"/>
          <w:bCs w:val="false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 xml:space="preserve">Especificamente sobre o imóvel da Rua Floriano Peixoto, nº 298, foi elaborado, em 15 de setembro de 2015, o Parecer Técnico nº 15/2015, constando-se que o imóvel estava listado como bem cultural a ser inventariado e que estava inserido no perímetro de entorno de tombamento da Escola Estadual Coronel Paiva. Ratificou-se a recomendação do Conselho Municipal de Patrimônio Cultural no sentido de que o imóvel fosse conservado como parte de um conjunto arquitetônico do município, sendo que qualquer intervenção deveria ser precedida de análise e aprovação de referido Conselho. Foram recomendadas medidas emergenciais para a edificação, além da realização do seu inventário. </w:t>
      </w:r>
    </w:p>
    <w:p>
      <w:pPr>
        <w:pStyle w:val="Normal"/>
        <w:widowControl w:val="false"/>
        <w:bidi w:val="0"/>
        <w:spacing w:lineRule="auto" w:line="276" w:before="0" w:after="0"/>
        <w:ind w:left="0" w:right="0" w:firstLine="709"/>
        <w:jc w:val="both"/>
        <w:rPr>
          <w:rFonts w:ascii="Garamond" w:hAnsi="Garamond" w:eastAsia="Times New Roman" w:cs="Garamond"/>
          <w:b w:val="false"/>
          <w:b w:val="false"/>
          <w:bCs w:val="false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 xml:space="preserve">Em 27 de outubro de 2015, atendendo à notificação da Promotoria de Justiça de Ouro Fino, o sr. Marco Aurélio de Silveira Silvestre, um dos proprietários do imóvel,  compareceu à sede da referida promotoria, informando que iria aguardar o posicionamento do município sobre o inventário da edificação. Solicitou a juntada de cópia do requerimento protocolado junto ao Departamento de Obras e Serviços da Prefeitura de Ouro Fino, em 14 de agosto de 2015, requerendo a autorização para demolição do  imóvel da Rua Floriano Peixoto, nº 298. </w:t>
      </w:r>
    </w:p>
    <w:p>
      <w:pPr>
        <w:pStyle w:val="Normal"/>
        <w:widowControl w:val="false"/>
        <w:bidi w:val="0"/>
        <w:spacing w:lineRule="auto" w:line="276" w:before="0" w:after="0"/>
        <w:ind w:left="0" w:right="0" w:firstLine="709"/>
        <w:jc w:val="both"/>
        <w:rPr>
          <w:rFonts w:ascii="Garamond" w:hAnsi="Garamond" w:eastAsia="Times New Roman" w:cs="Garamond"/>
          <w:b w:val="false"/>
          <w:b w:val="false"/>
          <w:bCs w:val="false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 xml:space="preserve"> </w:t>
      </w: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 xml:space="preserve">Em </w:t>
      </w: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val="pt-PT" w:eastAsia="zh-CN"/>
        </w:rPr>
        <w:t xml:space="preserve">12 de julho de 2018, com base em nova documentação encaminhada a esta coordenadoria pela Promotoria de Justiça de Ouro Fino (documentação encaminhada ao IEPHA para fins de pontuação no ICMS Cultural nas seguintes datas: 30 de novembro de 2015 e 30 de novembro de 2016),  foi elaborada a  Nota Técnica nº 39/2018. Concluiu-se que o município apresentou importante avanço no que diz respeito às políticas de proteção dos seus bens culturais, ressaltando-se que estas políticas devem ser desenvolvidas de forma contínua e sistemática. Ratificou-se as conclusões/recomendações da Nota Técnica nº  91/2015, no sentido de que o município deve cumprir o cronograma estabelecido no Plano de Inventário. Ressaltou-se que Ouro Fino possui uma extensa relação de bens culturais a serem inventariados, bem como um grande número de imóveis já inventariados, que poderiam ser protegidos pelo tombamento. </w:t>
      </w:r>
    </w:p>
    <w:p>
      <w:pPr>
        <w:pStyle w:val="Normal"/>
        <w:widowControl w:val="false"/>
        <w:bidi w:val="0"/>
        <w:spacing w:lineRule="auto" w:line="276" w:before="0" w:after="0"/>
        <w:ind w:left="0" w:right="0" w:firstLine="709"/>
        <w:jc w:val="both"/>
        <w:rPr>
          <w:rFonts w:ascii="Garamond" w:hAnsi="Garamond" w:eastAsia="Times New Roman" w:cs="Garamond"/>
          <w:b w:val="false"/>
          <w:b w:val="false"/>
          <w:bCs w:val="false"/>
          <w:sz w:val="24"/>
          <w:szCs w:val="24"/>
          <w:lang w:val="pt-PT" w:eastAsia="zh-CN"/>
        </w:rPr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val="pt-PT" w:eastAsia="zh-CN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val="pt-PT" w:eastAsia="zh-CN"/>
        </w:rPr>
        <w:t>Em 20 de julho de 2018, por meio de ofício</w:t>
      </w:r>
      <w:r>
        <w:rPr>
          <w:rStyle w:val="Ncoradanotaderodap"/>
          <w:rFonts w:eastAsia="Times New Roman" w:cs="Garamond" w:ascii="Garamond" w:hAnsi="Garamond"/>
          <w:b w:val="false"/>
          <w:bCs w:val="false"/>
          <w:sz w:val="24"/>
          <w:szCs w:val="24"/>
          <w:lang w:val="pt-PT" w:eastAsia="zh-CN"/>
        </w:rPr>
        <w:footnoteReference w:id="2"/>
      </w: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val="pt-PT" w:eastAsia="zh-CN"/>
        </w:rPr>
        <w:t>, o município de Ouro Fino, encaminhou à  2ª Promotoria de Justiça da cidade cópia da ata de reunião do Conselho Municipal de Defesa do Patrimônio Histórico e Arquitetônico de Ouro Fino, realizada no dia 24 de setembro de 2014. Nesta ata consta que o imóvel da Rua Floriano Peixoto, nº 298:</w:t>
      </w:r>
    </w:p>
    <w:p>
      <w:pPr>
        <w:pStyle w:val="Normal"/>
        <w:widowControl w:val="false"/>
        <w:bidi w:val="0"/>
        <w:spacing w:lineRule="auto" w:line="276" w:before="0" w:after="0"/>
        <w:ind w:left="0" w:right="0" w:firstLine="709"/>
        <w:jc w:val="both"/>
        <w:rPr>
          <w:rFonts w:ascii="Garamond" w:hAnsi="Garamond" w:eastAsia="Times New Roman" w:cs="Garamond"/>
          <w:b w:val="false"/>
          <w:b w:val="false"/>
          <w:bCs w:val="false"/>
          <w:sz w:val="24"/>
          <w:szCs w:val="24"/>
          <w:lang w:val="pt-PT" w:eastAsia="zh-CN"/>
        </w:rPr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val="pt-PT" w:eastAsia="zh-CN"/>
        </w:rPr>
      </w:r>
    </w:p>
    <w:p>
      <w:pPr>
        <w:pStyle w:val="Normal"/>
        <w:widowControl w:val="false"/>
        <w:bidi w:val="0"/>
        <w:spacing w:lineRule="auto" w:line="276" w:before="0" w:after="0"/>
        <w:ind w:left="1680" w:right="0" w:hanging="0"/>
        <w:jc w:val="both"/>
        <w:rPr>
          <w:sz w:val="22"/>
          <w:szCs w:val="22"/>
        </w:rPr>
      </w:pPr>
      <w:r>
        <w:rPr>
          <w:rFonts w:eastAsia="Times New Roman" w:cs="Garamond" w:ascii="Garamond" w:hAnsi="Garamond"/>
          <w:b w:val="false"/>
          <w:bCs w:val="false"/>
          <w:sz w:val="22"/>
          <w:szCs w:val="22"/>
          <w:lang w:val="pt-PT" w:eastAsia="zh-CN"/>
        </w:rPr>
        <w:t xml:space="preserve">… </w:t>
      </w:r>
      <w:r>
        <w:rPr>
          <w:rFonts w:eastAsia="Times New Roman" w:cs="Garamond" w:ascii="Garamond" w:hAnsi="Garamond"/>
          <w:b w:val="false"/>
          <w:bCs w:val="false"/>
          <w:sz w:val="22"/>
          <w:szCs w:val="22"/>
          <w:lang w:val="pt-PT" w:eastAsia="zh-CN"/>
        </w:rPr>
        <w:t xml:space="preserve">não possui tombamento municipal e não é inventariado, pertencendo o imóvel a uma área de entorno da Escola Estadual Coronel Paiva que por ser tombada pelo patrimônio municipal Decreto nº 1.677/2000, possui legislação para construção e preservação do entorno a qual deverá ser obedecida em caso de construção, reforma ou demolição da área. </w:t>
      </w:r>
    </w:p>
    <w:p>
      <w:pPr>
        <w:pStyle w:val="Normal"/>
        <w:widowControl w:val="false"/>
        <w:bidi w:val="0"/>
        <w:spacing w:lineRule="auto" w:line="276" w:before="0" w:after="0"/>
        <w:ind w:left="0" w:right="0" w:firstLine="709"/>
        <w:jc w:val="both"/>
        <w:rPr>
          <w:rFonts w:ascii="Garamond" w:hAnsi="Garamond" w:eastAsia="Times New Roman" w:cs="Garamond"/>
          <w:b w:val="false"/>
          <w:b w:val="false"/>
          <w:bCs w:val="false"/>
          <w:sz w:val="24"/>
          <w:szCs w:val="24"/>
          <w:lang w:val="pt-PT" w:eastAsia="zh-CN"/>
        </w:rPr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val="pt-PT" w:eastAsia="zh-CN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val="pt-PT" w:eastAsia="zh-CN"/>
        </w:rPr>
        <w:t>Consta também desta ata de reunião do  dia 24 de setembro de 2014 que “a construção é datada de 1929 e não apresenta nenhuma descaracterização em seu estilo arquitetônico, está na área primária de preservação”. Consta ainda da ata que “não cabe ao conselho impedir a negociação, compra, venda ou dar alguma restrição ao direito de propriedade”, cabendo ao órgão “ser previamente consultado para aprovação de eventuais projetos de reforma do imóvel da área de entorno”.</w:t>
      </w:r>
    </w:p>
    <w:p>
      <w:pPr>
        <w:pStyle w:val="Normal"/>
        <w:widowControl w:val="false"/>
        <w:bidi w:val="0"/>
        <w:spacing w:lineRule="auto" w:line="276" w:before="0" w:after="0"/>
        <w:ind w:left="0" w:right="0" w:firstLine="709"/>
        <w:jc w:val="both"/>
        <w:rPr>
          <w:rFonts w:ascii="Garamond" w:hAnsi="Garamond" w:eastAsia="Times New Roman" w:cs="Garamond"/>
          <w:b w:val="false"/>
          <w:b w:val="false"/>
          <w:bCs w:val="false"/>
          <w:sz w:val="24"/>
          <w:szCs w:val="24"/>
          <w:lang w:val="pt-PT" w:eastAsia="zh-CN"/>
        </w:rPr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val="pt-PT" w:eastAsia="zh-CN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val="pt-PT" w:eastAsia="zh-CN"/>
        </w:rPr>
        <w:t xml:space="preserve">Em 13 de agosto de 2018, por meio de ofício, a 2ª Promotoria de Justiça encaminhou os autos do inquérito civil a esta coordenadoria para </w:t>
        <w:tab/>
        <w:t xml:space="preserve">nova análise e parecer. </w:t>
      </w:r>
    </w:p>
    <w:p>
      <w:pPr>
        <w:pStyle w:val="Normal"/>
        <w:widowControl w:val="false"/>
        <w:bidi w:val="0"/>
        <w:spacing w:lineRule="auto" w:line="276" w:before="0" w:after="0"/>
        <w:ind w:left="0" w:right="0" w:firstLine="709"/>
        <w:jc w:val="both"/>
        <w:rPr>
          <w:rFonts w:ascii="Garamond" w:hAnsi="Garamond" w:eastAsia="Times New Roman" w:cs="Garamond"/>
          <w:b w:val="false"/>
          <w:b w:val="false"/>
          <w:bCs w:val="false"/>
          <w:sz w:val="24"/>
          <w:szCs w:val="24"/>
          <w:lang w:val="pt-PT" w:eastAsia="zh-CN"/>
        </w:rPr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val="pt-PT" w:eastAsia="zh-CN"/>
        </w:rPr>
      </w:r>
    </w:p>
    <w:p>
      <w:pPr>
        <w:pStyle w:val="Standard"/>
        <w:widowControl w:val="false"/>
        <w:numPr>
          <w:ilvl w:val="0"/>
          <w:numId w:val="1"/>
        </w:numPr>
        <w:bidi w:val="0"/>
        <w:spacing w:lineRule="auto" w:line="276" w:before="0" w:after="0"/>
        <w:ind w:left="0" w:right="0" w:hanging="0"/>
        <w:jc w:val="both"/>
        <w:rPr/>
      </w:pPr>
      <w:r>
        <w:rPr>
          <w:rStyle w:val="H1"/>
          <w:rFonts w:eastAsia="Times New Roman" w:cs="Garamond" w:ascii="Garamond" w:hAnsi="Garamond"/>
          <w:b/>
          <w:bCs/>
          <w:sz w:val="24"/>
          <w:szCs w:val="24"/>
          <w:shd w:fill="FFFFFF" w:val="clear"/>
          <w:lang w:eastAsia="zh-CN"/>
        </w:rPr>
        <w:t xml:space="preserve"> </w:t>
      </w: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>Conclusões</w:t>
      </w:r>
    </w:p>
    <w:p>
      <w:pPr>
        <w:pStyle w:val="Normal"/>
        <w:suppressAutoHyphens w:val="false"/>
        <w:bidi w:val="0"/>
        <w:spacing w:lineRule="auto" w:line="276" w:before="0" w:after="0"/>
        <w:ind w:left="0" w:right="0" w:hanging="0"/>
        <w:jc w:val="left"/>
        <w:textAlignment w:val="auto"/>
        <w:rPr>
          <w:rFonts w:ascii="Garamond" w:hAnsi="Garamond" w:eastAsia="Calibri" w:cs="Calibri"/>
          <w:sz w:val="24"/>
          <w:szCs w:val="24"/>
        </w:rPr>
      </w:pPr>
      <w:r>
        <w:rPr>
          <w:rFonts w:eastAsia="Calibri" w:cs="Calibri" w:ascii="Garamond" w:hAnsi="Garamond"/>
          <w:sz w:val="24"/>
          <w:szCs w:val="24"/>
        </w:rPr>
      </w:r>
    </w:p>
    <w:p>
      <w:pPr>
        <w:pStyle w:val="Normal"/>
        <w:widowControl/>
        <w:suppressAutoHyphens w:val="false"/>
        <w:bidi w:val="0"/>
        <w:spacing w:lineRule="auto" w:line="276" w:before="0" w:after="0"/>
        <w:ind w:left="0" w:right="0" w:hanging="0"/>
        <w:jc w:val="both"/>
        <w:textAlignment w:val="auto"/>
        <w:rPr/>
      </w:pPr>
      <w:r>
        <w:rPr>
          <w:rFonts w:eastAsia="Calibri" w:cs="Calibri" w:ascii="Garamond" w:hAnsi="Garamond"/>
          <w:b w:val="false"/>
          <w:bCs/>
          <w:i w:val="false"/>
          <w:caps w:val="false"/>
          <w:smallCaps w:val="false"/>
          <w:color w:val="00000A"/>
          <w:spacing w:val="0"/>
          <w:sz w:val="24"/>
          <w:szCs w:val="24"/>
          <w:lang w:eastAsia="zh-CN"/>
        </w:rPr>
        <w:tab/>
        <w:t xml:space="preserve">O imóvel da </w:t>
      </w:r>
      <w:r>
        <w:rPr>
          <w:rFonts w:eastAsia="Times New Roman" w:cs="Garamond" w:ascii="Garamond" w:hAnsi="Garamond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  <w:lang w:eastAsia="zh-CN"/>
        </w:rPr>
        <w:t xml:space="preserve">Rua Floriano Peixoto, nº 298, </w:t>
      </w:r>
      <w:r>
        <w:rPr>
          <w:rFonts w:eastAsia="Calibri" w:cs="Calibri" w:ascii="Garamond" w:hAnsi="Garamond"/>
          <w:b w:val="false"/>
          <w:bCs/>
          <w:i w:val="false"/>
          <w:caps w:val="false"/>
          <w:smallCaps w:val="false"/>
          <w:color w:val="00000A"/>
          <w:spacing w:val="0"/>
          <w:sz w:val="24"/>
          <w:szCs w:val="24"/>
          <w:lang w:eastAsia="zh-CN"/>
        </w:rPr>
        <w:t xml:space="preserve"> </w:t>
      </w:r>
      <w:r>
        <w:rPr>
          <w:rStyle w:val="H1"/>
          <w:rFonts w:eastAsia="MS Mincho;ＭＳ 明朝" w:cs="Times New Roman" w:ascii="Garamond" w:hAnsi="Garamond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  <w:shd w:fill="FFFFFF" w:val="clear"/>
          <w:lang w:eastAsia="zh-CN"/>
        </w:rPr>
        <w:t xml:space="preserve">possui características relevantes que justificam sua proteção como patrimônio cultural. O município de Ouro Fino reconheceu preliminarmente sua relevância ao incluí-lo na relação de bens a serem inventariados integrante do Plano de Inventário apresentado ao IEPHA no exercício </w:t>
      </w:r>
      <w:r>
        <w:rPr>
          <w:rStyle w:val="H1"/>
          <w:rFonts w:eastAsia="Times New Roman" w:cs="Garamond" w:ascii="Garamond" w:hAnsi="Garamond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  <w:shd w:fill="FFFFFF" w:val="clear"/>
          <w:lang w:eastAsia="zh-CN"/>
        </w:rPr>
        <w:t xml:space="preserve">2008 do ICMS Cultural. Além disso, a edificação está inserida no perímetro de tombamento da Escola Estadual Coronel Paiva. </w:t>
      </w:r>
      <w:r>
        <w:rPr>
          <w:rStyle w:val="H1"/>
          <w:rFonts w:eastAsia="Times New Roman" w:cs="Garamond" w:ascii="Garamond" w:hAnsi="Garamond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  <w:lang w:eastAsia="zh-CN"/>
        </w:rPr>
        <w:t xml:space="preserve">Deste feita, o bem pertence ao patrimônio cultural de forma que qualquer intervenção no imóvel deve ser previamente analisada pelo Conselho Municipal de Patrimônio Cultural. </w:t>
      </w:r>
    </w:p>
    <w:p>
      <w:pPr>
        <w:pStyle w:val="Normal"/>
        <w:widowControl/>
        <w:suppressAutoHyphens w:val="false"/>
        <w:bidi w:val="0"/>
        <w:spacing w:lineRule="auto" w:line="276" w:before="0" w:after="0"/>
        <w:ind w:left="0" w:right="0" w:hanging="0"/>
        <w:jc w:val="both"/>
        <w:textAlignment w:val="auto"/>
        <w:rPr>
          <w:rStyle w:val="H1"/>
          <w:rFonts w:ascii="Garamond" w:hAnsi="Garamond" w:eastAsia="MS Mincho;ＭＳ 明朝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highlight w:val="white"/>
          <w:lang w:eastAsia="zh-CN"/>
        </w:rPr>
      </w:pPr>
      <w:r>
        <w:rPr>
          <w:rFonts w:eastAsia="MS Mincho;ＭＳ 明朝" w:cs="Times New Roman" w:ascii="Garamond" w:hAnsi="Garamond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  <w:highlight w:val="white"/>
          <w:lang w:eastAsia="zh-CN"/>
        </w:rPr>
      </w:r>
    </w:p>
    <w:p>
      <w:pPr>
        <w:pStyle w:val="Normal"/>
        <w:widowControl/>
        <w:suppressAutoHyphens w:val="false"/>
        <w:bidi w:val="0"/>
        <w:spacing w:lineRule="auto" w:line="276" w:before="0" w:after="0"/>
        <w:ind w:left="0" w:right="0" w:hanging="0"/>
        <w:jc w:val="both"/>
        <w:textAlignment w:val="auto"/>
        <w:rPr/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eastAsia="zh-CN"/>
        </w:rPr>
        <w:tab/>
        <w:t xml:space="preserve">Conforme explicitado na Nota Técnica nº </w:t>
      </w: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val="pt-PT" w:eastAsia="zh-CN"/>
        </w:rPr>
        <w:t xml:space="preserve">39/2018, o </w:t>
      </w:r>
      <w:r>
        <w:rPr>
          <w:rStyle w:val="H1"/>
          <w:rFonts w:eastAsia="MS Mincho;ＭＳ 明朝" w:cs="Times New Roman" w:ascii="Garamond" w:hAnsi="Garamond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  <w:shd w:fill="FFFFFF" w:val="clear"/>
          <w:lang w:val="pt-PT" w:eastAsia="zh-CN"/>
        </w:rPr>
        <w:t xml:space="preserve">município de Ouro Fino </w:t>
      </w: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val="pt-PT" w:eastAsia="zh-CN"/>
        </w:rPr>
        <w:t xml:space="preserve">atualizou o cronograma do Plano de Inventário que se estende até o ano de 2028, prazo que consideramos muito extenso, podendo ocorrer novas perdas do acervo cultural local. </w:t>
      </w:r>
    </w:p>
    <w:p>
      <w:pPr>
        <w:pStyle w:val="Normal"/>
        <w:widowControl/>
        <w:suppressAutoHyphens w:val="false"/>
        <w:bidi w:val="0"/>
        <w:spacing w:lineRule="auto" w:line="276" w:before="0" w:after="0"/>
        <w:ind w:left="0" w:right="0" w:hanging="0"/>
        <w:jc w:val="both"/>
        <w:textAlignment w:val="auto"/>
        <w:rPr>
          <w:rFonts w:ascii="Garamond" w:hAnsi="Garamond" w:eastAsia="Times New Roman" w:cs="Garamond"/>
          <w:b w:val="false"/>
          <w:b w:val="false"/>
          <w:bCs w:val="false"/>
          <w:sz w:val="24"/>
          <w:szCs w:val="24"/>
          <w:lang w:val="pt-PT" w:eastAsia="zh-CN"/>
        </w:rPr>
      </w:pPr>
      <w:r>
        <w:rPr>
          <w:rFonts w:eastAsia="Times New Roman" w:cs="Garamond" w:ascii="Garamond" w:hAnsi="Garamond"/>
          <w:b w:val="false"/>
          <w:bCs w:val="false"/>
          <w:sz w:val="24"/>
          <w:szCs w:val="24"/>
          <w:lang w:val="pt-PT" w:eastAsia="zh-CN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firstLine="709"/>
        <w:jc w:val="both"/>
        <w:rPr>
          <w:rFonts w:ascii="Garamond" w:hAnsi="Garamond" w:cs="Garamond"/>
          <w:b w:val="false"/>
          <w:b w:val="false"/>
          <w:bCs w:val="false"/>
          <w:sz w:val="24"/>
          <w:szCs w:val="24"/>
          <w:lang w:val="pt-PT"/>
        </w:rPr>
      </w:pPr>
      <w:r>
        <w:rPr>
          <w:rFonts w:cs="Garamond" w:ascii="Garamond" w:hAnsi="Garamond"/>
          <w:b w:val="false"/>
          <w:bCs w:val="false"/>
          <w:sz w:val="24"/>
          <w:szCs w:val="24"/>
          <w:lang w:val="pt-PT"/>
        </w:rPr>
      </w:r>
    </w:p>
    <w:p>
      <w:pPr>
        <w:pStyle w:val="Standard"/>
        <w:widowControl w:val="false"/>
        <w:numPr>
          <w:ilvl w:val="0"/>
          <w:numId w:val="1"/>
        </w:numPr>
        <w:bidi w:val="0"/>
        <w:spacing w:lineRule="auto" w:line="276" w:before="0" w:after="0"/>
        <w:ind w:left="0" w:right="0" w:hanging="0"/>
        <w:jc w:val="both"/>
        <w:rPr/>
      </w:pPr>
      <w:r>
        <w:rPr>
          <w:rStyle w:val="H1"/>
          <w:rFonts w:eastAsia="Times New Roman" w:cs="Garamond" w:ascii="Garamond" w:hAnsi="Garamond"/>
          <w:b/>
          <w:bCs/>
          <w:sz w:val="24"/>
          <w:szCs w:val="24"/>
          <w:shd w:fill="FFFFFF" w:val="clear"/>
          <w:lang w:eastAsia="zh-CN"/>
        </w:rPr>
        <w:t xml:space="preserve"> </w:t>
      </w: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>Encerramento</w:t>
      </w:r>
    </w:p>
    <w:p>
      <w:pPr>
        <w:pStyle w:val="Standard"/>
        <w:bidi w:val="0"/>
        <w:spacing w:lineRule="auto" w:line="276" w:before="0" w:after="0"/>
        <w:ind w:left="0" w:right="0" w:hanging="0"/>
        <w:jc w:val="both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</w:r>
    </w:p>
    <w:p>
      <w:pPr>
        <w:pStyle w:val="Standard"/>
        <w:widowControl w:val="false"/>
        <w:bidi w:val="0"/>
        <w:spacing w:lineRule="auto" w:line="276" w:before="0" w:after="0"/>
        <w:ind w:left="0" w:right="0" w:hanging="0"/>
        <w:jc w:val="both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  <w:tab/>
        <w:t>São essas as considerações do Setor Técnico desta Promotoria, que se coloca à disposição para o que mais se fizer necessário.</w:t>
      </w:r>
    </w:p>
    <w:p>
      <w:pPr>
        <w:pStyle w:val="Standard"/>
        <w:bidi w:val="0"/>
        <w:spacing w:lineRule="auto" w:line="276" w:before="0" w:after="0"/>
        <w:ind w:left="0" w:right="0" w:hanging="0"/>
        <w:jc w:val="right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</w:r>
    </w:p>
    <w:p>
      <w:pPr>
        <w:pStyle w:val="Standard"/>
        <w:bidi w:val="0"/>
        <w:spacing w:lineRule="auto" w:line="276" w:before="0" w:after="0"/>
        <w:ind w:left="0" w:right="0" w:hanging="0"/>
        <w:jc w:val="right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</w:r>
    </w:p>
    <w:p>
      <w:pPr>
        <w:pStyle w:val="Standard"/>
        <w:bidi w:val="0"/>
        <w:spacing w:lineRule="auto" w:line="276" w:before="0" w:after="0"/>
        <w:ind w:left="0" w:right="0" w:hanging="0"/>
        <w:jc w:val="right"/>
        <w:rPr/>
      </w:pPr>
      <w:r>
        <w:rPr>
          <w:rFonts w:eastAsia="Times New Roman" w:cs="Garamond" w:ascii="Garamond" w:hAnsi="Garamond"/>
          <w:sz w:val="24"/>
          <w:szCs w:val="24"/>
          <w:lang w:eastAsia="zh-CN"/>
        </w:rPr>
        <w:t>Belo Horizonte,  15 de  outubro de 2018.</w:t>
      </w:r>
    </w:p>
    <w:p>
      <w:pPr>
        <w:pStyle w:val="Standard"/>
        <w:bidi w:val="0"/>
        <w:spacing w:lineRule="auto" w:line="276" w:before="0" w:after="0"/>
        <w:ind w:left="0" w:right="0" w:hanging="0"/>
        <w:jc w:val="center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</w:r>
    </w:p>
    <w:p>
      <w:pPr>
        <w:pStyle w:val="Standard"/>
        <w:bidi w:val="0"/>
        <w:spacing w:lineRule="auto" w:line="276" w:before="0" w:after="0"/>
        <w:ind w:left="0" w:right="0" w:hanging="0"/>
        <w:jc w:val="right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</w:r>
    </w:p>
    <w:p>
      <w:pPr>
        <w:pStyle w:val="Standard"/>
        <w:bidi w:val="0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Standard"/>
        <w:bidi w:val="0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Garamond" w:ascii="Garamond" w:hAnsi="Garamond"/>
          <w:sz w:val="24"/>
          <w:szCs w:val="24"/>
          <w:lang w:eastAsia="zh-CN"/>
        </w:rPr>
        <w:t>Neise Mendes Duarte</w:t>
      </w:r>
    </w:p>
    <w:p>
      <w:pPr>
        <w:pStyle w:val="Standard"/>
        <w:bidi w:val="0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Garamond" w:ascii="Garamond" w:hAnsi="Garamond"/>
          <w:sz w:val="24"/>
          <w:szCs w:val="24"/>
          <w:lang w:eastAsia="zh-CN"/>
        </w:rPr>
        <w:t>Analista do Ministério Público – MAMP 5011</w:t>
      </w:r>
    </w:p>
    <w:p>
      <w:pPr>
        <w:pStyle w:val="Standard"/>
        <w:bidi w:val="0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Garamond" w:ascii="Garamond" w:hAnsi="Garamond"/>
          <w:sz w:val="24"/>
          <w:szCs w:val="24"/>
          <w:lang w:eastAsia="zh-CN"/>
        </w:rPr>
        <w:t>Historiadora</w:t>
      </w:r>
    </w:p>
    <w:p>
      <w:pPr>
        <w:pStyle w:val="Standard"/>
        <w:bidi w:val="0"/>
        <w:spacing w:lineRule="auto" w:line="276"/>
        <w:ind w:left="0" w:right="0" w:hanging="0"/>
        <w:jc w:val="left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2240" w:h="15840"/>
      <w:pgMar w:left="1701" w:right="1701" w:header="567" w:top="624" w:footer="567" w:bottom="62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0"/>
    <w:family w:val="swiss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Garamond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tabs>
        <w:tab w:val="center" w:pos="4419" w:leader="none"/>
        <w:tab w:val="right" w:pos="8838" w:leader="none"/>
      </w:tabs>
      <w:spacing w:lineRule="auto" w:line="240" w:before="0" w:after="0"/>
      <w:rPr/>
    </w:pPr>
    <w:r>
      <w:rPr/>
      <w:drawing>
        <wp:inline distT="0" distB="0" distL="0" distR="0">
          <wp:extent cx="5495925" cy="516890"/>
          <wp:effectExtent l="0" t="0" r="0" b="0"/>
          <wp:docPr id="2" name="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5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Notaderodap"/>
        <w:rPr/>
      </w:pPr>
      <w:r>
        <w:rPr/>
        <w:footnoteRef/>
        <w:tab/>
        <w:t xml:space="preserve"> </w:t>
      </w:r>
      <w:r>
        <w:rPr>
          <w:rFonts w:ascii="Garamond" w:hAnsi="Garamond"/>
        </w:rPr>
        <w:t>Ofício nº 047/2018- PGM.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tabs>
        <w:tab w:val="center" w:pos="4419" w:leader="none"/>
        <w:tab w:val="right" w:pos="8838" w:leader="none"/>
      </w:tabs>
      <w:spacing w:lineRule="auto" w:line="240" w:before="0" w:after="0"/>
      <w:ind w:right="360" w:hanging="0"/>
      <w:jc w:val="center"/>
      <w:rPr/>
    </w:pPr>
    <w:r>
      <w:rPr/>
      <w:drawing>
        <wp:inline distT="0" distB="0" distL="0" distR="0">
          <wp:extent cx="5334000" cy="800100"/>
          <wp:effectExtent l="0" t="0" r="0" b="0"/>
          <wp:docPr id="1" name="Imagem 14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4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suff w:val="space"/>
      <w:lvlText w:val="%2.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ahoma"/>
      <w:color w:val="00000A"/>
      <w:sz w:val="22"/>
      <w:szCs w:val="22"/>
      <w:lang w:val="pt-BR" w:eastAsia="en-US" w:bidi="ar-SA"/>
    </w:rPr>
  </w:style>
  <w:style w:type="paragraph" w:styleId="Ttulo3">
    <w:name w:val="Heading 3"/>
    <w:basedOn w:val="Ttulododocumento"/>
    <w:qFormat/>
    <w:pPr>
      <w:outlineLvl w:val="2"/>
    </w:pPr>
    <w:rPr>
      <w:rFonts w:ascii="Times New Roman" w:hAnsi="Times New Roman" w:eastAsia="Arial Unicode MS" w:cs="Tahoma"/>
      <w:b/>
      <w:bCs/>
    </w:rPr>
  </w:style>
  <w:style w:type="paragraph" w:styleId="Ttulo4">
    <w:name w:val="Heading 4"/>
    <w:basedOn w:val="Ttulododocumento"/>
    <w:qFormat/>
    <w:pPr>
      <w:outlineLvl w:val="3"/>
    </w:pPr>
    <w:rPr>
      <w:b/>
      <w:bCs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coradanotaderodap" w:customStyle="1">
    <w:name w:val="Âncora da nota de rodapé"/>
    <w:qFormat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TextodenotaderodapChar" w:customStyle="1">
    <w:name w:val="Texto de nota de rodapé Char"/>
    <w:basedOn w:val="DefaultParagraphFont"/>
    <w:qFormat/>
    <w:rPr>
      <w:rFonts w:ascii="Times New Roman" w:hAnsi="Times New Roman" w:eastAsia="SimSun" w:cs="Mangal"/>
      <w:sz w:val="20"/>
      <w:szCs w:val="18"/>
      <w:lang w:eastAsia="zh-CN" w:bidi="hi-IN"/>
    </w:rPr>
  </w:style>
  <w:style w:type="character" w:styleId="CabealhoChar" w:customStyle="1">
    <w:name w:val="Cabeçalho Char"/>
    <w:basedOn w:val="DefaultParagraphFont"/>
    <w:qFormat/>
    <w:rPr/>
  </w:style>
  <w:style w:type="character" w:styleId="RodapChar" w:customStyle="1">
    <w:name w:val="Rodapé Char"/>
    <w:basedOn w:val="DefaultParagraphFont"/>
    <w:qFormat/>
    <w:rPr/>
  </w:style>
  <w:style w:type="character" w:styleId="Pagenumber">
    <w:name w:val="page number"/>
    <w:basedOn w:val="DefaultParagraphFont"/>
    <w:qFormat/>
    <w:rPr/>
  </w:style>
  <w:style w:type="character" w:styleId="TextodebaloChar" w:customStyle="1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H1" w:customStyle="1">
    <w:name w:val="h1"/>
    <w:basedOn w:val="DefaultParagraphFont"/>
    <w:qFormat/>
    <w:rPr/>
  </w:style>
  <w:style w:type="character" w:styleId="Caracteresdenotaderodap" w:customStyle="1">
    <w:name w:val="Caracteres de nota de rodapé"/>
    <w:qFormat/>
    <w:rPr>
      <w:vertAlign w:val="superscript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Smbolosdenumerao" w:customStyle="1">
    <w:name w:val="Símbolos de numeração"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Garamond" w:hAnsi="Garamond" w:cs="Symbol"/>
      <w:sz w:val="24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ascii="Garamond" w:hAnsi="Garamond" w:cs="OpenSymbol"/>
      <w:b w:val="false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ascii="Garamond" w:hAnsi="Garamond" w:cs="Symbol"/>
      <w:sz w:val="24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ascii="Garamond" w:hAnsi="Garamond" w:cs="OpenSymbol"/>
      <w:b w:val="false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ascii="Garamond" w:hAnsi="Garamond" w:cs="Symbol"/>
      <w:sz w:val="24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ascii="Garamond" w:hAnsi="Garamond" w:cs="OpenSymbol"/>
      <w:b w:val="false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WW8Num5z0">
    <w:name w:val="WW8Num5z0"/>
    <w:qFormat/>
    <w:rPr>
      <w:rFonts w:ascii="Symbol" w:hAnsi="Symbol" w:cs="Symbol"/>
      <w:szCs w:val="18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2"/>
      <w:lang w:val="pt-BR" w:eastAsia="en-US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  <w:bidi w:val="0"/>
      <w:jc w:val="left"/>
    </w:pPr>
    <w:rPr>
      <w:rFonts w:ascii="Calibri" w:hAnsi="Calibri" w:eastAsia="SimSun" w:cs="Mangal"/>
      <w:color w:val="00000A"/>
      <w:sz w:val="22"/>
      <w:szCs w:val="22"/>
      <w:lang w:val="pt-BR" w:eastAsia="en-US" w:bidi="ar-SA"/>
    </w:rPr>
  </w:style>
  <w:style w:type="paragraph" w:styleId="Ttulododocumento">
    <w:name w:val="Title"/>
    <w:basedOn w:val="Normal"/>
    <w:qFormat/>
    <w:pPr>
      <w:keepNext/>
      <w:widowControl w:val="false"/>
      <w:bidi w:val="0"/>
      <w:spacing w:before="240" w:after="120"/>
      <w:jc w:val="left"/>
    </w:pPr>
    <w:rPr>
      <w:rFonts w:ascii="Arial" w:hAnsi="Arial" w:eastAsia="SimSun" w:cs="Mangal"/>
      <w:color w:val="00000A"/>
      <w:sz w:val="28"/>
      <w:szCs w:val="28"/>
      <w:lang w:val="pt-BR" w:eastAsia="en-US" w:bidi="ar-SA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Calibri" w:hAnsi="Calibri" w:eastAsia="SimSun" w:cs="Tahoma"/>
      <w:color w:val="00000A"/>
      <w:sz w:val="22"/>
      <w:szCs w:val="22"/>
      <w:lang w:val="pt-BR" w:eastAsia="en-US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Subttulo">
    <w:name w:val="Subtitle"/>
    <w:basedOn w:val="Ttulododocumento"/>
    <w:qFormat/>
    <w:pPr>
      <w:jc w:val="center"/>
    </w:pPr>
    <w:rPr>
      <w:i/>
      <w:iCs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taderodap">
    <w:name w:val="Footnote Text"/>
    <w:basedOn w:val="Standard"/>
    <w:qFormat/>
    <w:pPr>
      <w:widowControl w:val="false"/>
      <w:spacing w:lineRule="auto" w:line="240" w:before="0" w:after="0"/>
    </w:pPr>
    <w:rPr>
      <w:rFonts w:ascii="Times New Roman" w:hAnsi="Times New Roman" w:cs="Mangal"/>
      <w:sz w:val="20"/>
      <w:szCs w:val="18"/>
      <w:lang w:eastAsia="zh-CN" w:bidi="hi-IN"/>
    </w:rPr>
  </w:style>
  <w:style w:type="paragraph" w:styleId="Cabealho">
    <w:name w:val="Header"/>
    <w:basedOn w:val="Standard"/>
    <w:pPr>
      <w:suppressLineNumbers/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Standard"/>
    <w:pPr>
      <w:suppressLineNumbers/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Footnote" w:customStyle="1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styleId="Msobodyte0pt" w:customStyle="1">
    <w:name w:val="msobodyte.0pt"/>
    <w:basedOn w:val="Standard"/>
    <w:qFormat/>
    <w:pPr>
      <w:spacing w:before="280" w:after="280"/>
    </w:pPr>
    <w:rPr>
      <w:rFonts w:ascii="Arial Unicode MS" w:hAnsi="Arial Unicode MS" w:eastAsia="Arial Unicode MS" w:cs="Arial Unicode MS"/>
      <w:color w:val="000000"/>
    </w:rPr>
  </w:style>
  <w:style w:type="paragraph" w:styleId="NormalWeb">
    <w:name w:val="Normal (Web)"/>
    <w:basedOn w:val="Standard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Msobodytex0pt" w:customStyle="1">
    <w:name w:val="msobodytex.0pt"/>
    <w:basedOn w:val="Standard"/>
    <w:qFormat/>
    <w:pPr>
      <w:spacing w:before="280" w:after="280"/>
    </w:pPr>
    <w:rPr>
      <w:rFonts w:ascii="Arial Unicode MS" w:hAnsi="Arial Unicode MS" w:eastAsia="Arial Unicode MS" w:cs="Arial Unicode MS"/>
      <w:color w:val="000000"/>
    </w:rPr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extosemFormatao">
    <w:name w:val="Texto sem Formatação"/>
    <w:basedOn w:val="Normal"/>
    <w:qFormat/>
    <w:pPr/>
    <w:rPr>
      <w:rFonts w:ascii="Courier New" w:hAnsi="Courier New" w:cs="Courier New"/>
      <w:sz w:val="20"/>
      <w:szCs w:val="20"/>
    </w:rPr>
  </w:style>
  <w:style w:type="paragraph" w:styleId="Western">
    <w:name w:val="western"/>
    <w:basedOn w:val="Normal"/>
    <w:qFormat/>
    <w:pPr>
      <w:suppressAutoHyphens w:val="false"/>
      <w:spacing w:before="280" w:after="119"/>
    </w:pPr>
    <w:rPr>
      <w:rFonts w:ascii="Arial Unicode MS" w:hAnsi="Arial Unicode MS" w:eastAsia="Arial Unicode MS" w:cs="Arial Unicode MS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Application>LibreOffice/5.2.5.1$Windows_x86 LibreOffice_project/0312e1a284a7d50ca85a365c316c7abbf20a4d22</Application>
  <Pages>3</Pages>
  <Words>902</Words>
  <Characters>4824</Characters>
  <CharactersWithSpaces>5725</CharactersWithSpaces>
  <Paragraphs>27</Paragraphs>
  <Company>Ministério Público do Estado de Minas Gerais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2018-06-14T15:46:00Z</dcterms:created>
  <dc:creator>Andrea Lanna Mendes Novais</dc:creator>
  <dc:description/>
  <dc:language>pt-BR</dc:language>
  <cp:lastModifiedBy/>
  <cp:lastPrinted>2018-08-28T18:59:34Z</cp:lastPrinted>
  <dcterms:modified xsi:type="dcterms:W3CDTF">2018-10-19T11:42:36Z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Ministério Público do Estado de Minas Gerais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