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uppressAutoHyphens w:val="true"/>
        <w:spacing w:before="0" w:after="0"/>
        <w:ind w:hanging="0"/>
        <w:jc w:val="center"/>
        <w:textAlignment w:val="baseline"/>
        <w:outlineLvl w:val="2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PARECER N º 05/2019</w:t>
      </w:r>
    </w:p>
    <w:p>
      <w:pPr>
        <w:pStyle w:val="Normal"/>
        <w:suppressAutoHyphens w:val="true"/>
        <w:spacing w:before="0" w:after="0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jc w:val="center"/>
        <w:textAlignment w:val="baseline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Ref: IC MPMG 0461.12.000256-7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 e PAAF 0024.19.012814-0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Objeto: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>Asfaltamento ruas  Desidério de Matos, Domingos de Abreu, Irmãos Kennedy e Travessa Cristo Rei.</w:t>
      </w:r>
    </w:p>
    <w:p>
      <w:pPr>
        <w:pStyle w:val="Normal"/>
        <w:suppressAutoHyphens w:val="true"/>
        <w:spacing w:before="0" w:after="0"/>
        <w:ind w:left="360" w:hanging="0"/>
        <w:jc w:val="both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Município: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Ouro Preto </w:t>
      </w:r>
    </w:p>
    <w:p>
      <w:pPr>
        <w:pStyle w:val="Normal"/>
        <w:suppressAutoHyphens w:val="true"/>
        <w:spacing w:before="0" w:after="0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textAlignment w:val="baseline"/>
        <w:rPr>
          <w:rFonts w:ascii="Garamond" w:hAnsi="Garamond" w:eastAsia="Times New Roman" w:cs="Garamond"/>
          <w:b/>
          <w:b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Garamond" w:ascii="Garamond" w:hAnsi="Garamond"/>
          <w:b/>
          <w:bCs/>
          <w:color w:val="auto"/>
          <w:sz w:val="24"/>
          <w:szCs w:val="24"/>
          <w:lang w:val="pt-BR" w:eastAsia="zh-CN" w:bidi="ar-SA"/>
        </w:rPr>
        <w:t>Análise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Corpodetexto3"/>
        <w:spacing w:lineRule="auto" w:line="276"/>
        <w:ind w:firstLine="708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ascii="Garamond" w:hAnsi="Garamond"/>
          <w:b w:val="false"/>
          <w:bCs w:val="false"/>
          <w:sz w:val="24"/>
          <w:szCs w:val="24"/>
        </w:rPr>
        <w:t>Conforme solicitação da 4ª Promotoria de Justiça da Comarca de Ouro Preto, no dia 04/12/2014 a arquiteta Andréa Lanna Mendes Novais, analista do Ministério Público, realizou vistoria técnica nas ruas Desidério de Matos, Domingos de Abreu, Irmãos Kennedy e Travessa Cristo Rei na cidade de Ouro Preto – MG.</w:t>
      </w:r>
    </w:p>
    <w:p>
      <w:pPr>
        <w:pStyle w:val="Corpodetexto3"/>
        <w:widowControl w:val="false"/>
        <w:suppressAutoHyphens w:val="true"/>
        <w:spacing w:lineRule="auto" w:line="276" w:before="0" w:after="0"/>
        <w:ind w:firstLine="708"/>
        <w:textAlignment w:val="baseline"/>
        <w:rPr>
          <w:rFonts w:ascii="Garamond" w:hAnsi="Garamond"/>
          <w:b w:val="false"/>
          <w:b w:val="false"/>
          <w:bCs w:val="false"/>
          <w:sz w:val="24"/>
          <w:szCs w:val="24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>Foram elaborados os laudos técnicos nº 65/2014, 66/2014 e 67/2014 para instruir o Inquérito Civil nº MPMG 0461.12.000256-7.</w:t>
      </w:r>
    </w:p>
    <w:p>
      <w:pPr>
        <w:pStyle w:val="Corpodetexto3"/>
        <w:widowControl w:val="false"/>
        <w:suppressAutoHyphens w:val="true"/>
        <w:spacing w:lineRule="auto" w:line="276" w:before="0" w:after="0"/>
        <w:ind w:firstLine="708"/>
        <w:textAlignment w:val="baseline"/>
        <w:rPr>
          <w:rFonts w:eastAsia="Times New Roman" w:cs="Garamond"/>
          <w:lang w:eastAsia="zh-CN"/>
        </w:rPr>
      </w:pPr>
      <w:r>
        <w:rPr>
          <w:rFonts w:eastAsia="Times New Roman" w:cs="Garamond"/>
          <w:lang w:eastAsia="zh-CN"/>
        </w:rPr>
      </w:r>
    </w:p>
    <w:p>
      <w:pPr>
        <w:pStyle w:val="Normal"/>
        <w:ind w:firstLine="708"/>
        <w:jc w:val="both"/>
        <w:rPr>
          <w:rFonts w:ascii="Garamond" w:hAnsi="Garamond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Garamond" w:hAnsi="Garamond"/>
          <w:b w:val="false"/>
          <w:bCs w:val="false"/>
          <w:color w:val="000000"/>
          <w:sz w:val="24"/>
          <w:szCs w:val="24"/>
        </w:rPr>
        <w:t>Concluiu-se que:</w:t>
      </w:r>
    </w:p>
    <w:p>
      <w:pPr>
        <w:pStyle w:val="Normal"/>
        <w:ind w:firstLine="708"/>
        <w:jc w:val="both"/>
        <w:rPr/>
      </w:pPr>
      <w:r>
        <w:rPr>
          <w:rFonts w:ascii="Garamond" w:hAnsi="Garamond"/>
          <w:b w:val="false"/>
          <w:bCs w:val="false"/>
          <w:color w:val="000000"/>
          <w:sz w:val="24"/>
          <w:szCs w:val="24"/>
        </w:rPr>
        <w:t xml:space="preserve">1 - A intervenção foi irregular tendo em vista que, por se tratar de intervenção em área de tombamento federal, era necessária prévia análise e aprovação do Iphan, o que não ocorreu, desrespeitando o Decreto Lei 25/37 e </w:t>
      </w:r>
      <w:r>
        <w:rPr>
          <w:rFonts w:ascii="Garamond" w:hAnsi="Garamond"/>
          <w:b w:val="false"/>
          <w:bCs w:val="false"/>
          <w:color w:val="000000"/>
          <w:sz w:val="24"/>
          <w:szCs w:val="24"/>
        </w:rPr>
        <w:t>a</w:t>
      </w:r>
      <w:r>
        <w:rPr>
          <w:rFonts w:ascii="Garamond" w:hAnsi="Garamond"/>
          <w:b w:val="false"/>
          <w:bCs w:val="false"/>
          <w:color w:val="000000"/>
          <w:sz w:val="24"/>
          <w:szCs w:val="24"/>
        </w:rPr>
        <w:t xml:space="preserve"> Portaria 312 do Iphan. Além disso, houve desrespeito ao Art. 29 da Portaria 312/2010 do Iphan que define que os pavimentos em pedra devem ser preservados em todas as vias públicas e nos passeios, incluindo os meios fios, na APE.  </w:t>
      </w:r>
    </w:p>
    <w:p>
      <w:pPr>
        <w:pStyle w:val="Corpodetexto3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2 - Não foi apresentado Estudo de Impacto de Vizinhança, necessário para  intervenções urbanísticas que impliquem em impermeabilização de espaços públicos conforme Lei Complementar nº 93 de 20 de janeiro de 2011.</w:t>
      </w:r>
    </w:p>
    <w:p>
      <w:pPr>
        <w:pStyle w:val="Corpodetexto3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3 - Há possibilidade técnica de se remover a cobertura asfáltica com equipamentos mecânicos e manuais, entretanto, os procedimentos para a retirada devem elaborados e executados por profissional habilitado na área, com Anotação de Responsabilidade Técnica e observância da Decisão Normativa CONFEA nº nº 83, de 26 de setembro de 2008, que dispõe “Dispõe sobre procedimentos para a fiscalização do exercício e das atividades profissionais referentes a monumentos, sítios de valor cultural e seu entorno ou ambiência”.</w:t>
      </w:r>
    </w:p>
    <w:p>
      <w:pPr>
        <w:pStyle w:val="Corpodetexto3"/>
        <w:ind w:firstLine="708"/>
        <w:rPr/>
      </w:pPr>
      <w:r>
        <w:rPr>
          <w:rFonts w:ascii="Garamond" w:hAnsi="Garamond"/>
          <w:b w:val="false"/>
          <w:bCs w:val="false"/>
          <w:sz w:val="24"/>
          <w:szCs w:val="24"/>
          <w:u w:val="none"/>
        </w:rPr>
        <w:t>Em todos os casos foi ratificado o entendimento do Iphan de remoção do asfalto nos trechos classificados como APE 01 pelo Iphan e ZPE pelo município.</w:t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Garamond" w:hAnsi="Garamond"/>
          <w:sz w:val="24"/>
          <w:szCs w:val="24"/>
        </w:rPr>
        <w:tab/>
        <w:t>Também foi recomendada a responsabilização em âmbito cível, administrativo e criminal dos responsáveis pelos danos, conforme artigo 63 da Lei 9605 de 12 de fevereiro de 1998.</w:t>
      </w:r>
    </w:p>
    <w:p>
      <w:pPr>
        <w:pStyle w:val="Normal"/>
        <w:spacing w:lineRule="auto" w:line="276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Garamond" w:hAnsi="Garamond"/>
          <w:sz w:val="24"/>
          <w:szCs w:val="24"/>
        </w:rPr>
        <w:tab/>
        <w:t xml:space="preserve">Em 25/01/2017 a Promotoria de Justiça de Ouro Preto encaminhou cópia do laudo nº 65/2014 para o Secretário de Cultura e Patrimônio e Procuradoria-Geral do município de Ouro Preto. </w:t>
      </w:r>
    </w:p>
    <w:p>
      <w:pPr>
        <w:pStyle w:val="Normal"/>
        <w:spacing w:lineRule="auto" w:line="276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Garamond" w:hAnsi="Garamond"/>
          <w:sz w:val="24"/>
          <w:szCs w:val="24"/>
        </w:rPr>
        <w:tab/>
        <w:t xml:space="preserve">Em 12/05/2017 foi realizada reunião na Promotoria de Justiça de Ouro Preto, sendo concedido 30 dias para o município informar ao MPMG sobre as providências que adotaria para a solução da questão. Também foi determinada a emissão de ofício ao Iphan para se posicionar em relação ao caso em análise. </w:t>
      </w:r>
    </w:p>
    <w:p>
      <w:pPr>
        <w:pStyle w:val="Normal"/>
        <w:spacing w:lineRule="auto" w:line="276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Garamond" w:hAnsi="Garamond"/>
          <w:sz w:val="24"/>
          <w:szCs w:val="24"/>
        </w:rPr>
        <w:tab/>
        <w:t xml:space="preserve">Em 17/07/2017, em resposta ao </w:t>
      </w:r>
      <w:r>
        <w:rPr>
          <w:rFonts w:ascii="Garamond" w:hAnsi="Garamond"/>
          <w:sz w:val="24"/>
          <w:szCs w:val="24"/>
        </w:rPr>
        <w:t>ofício</w:t>
      </w:r>
      <w:r>
        <w:rPr>
          <w:rFonts w:ascii="Garamond" w:hAnsi="Garamond"/>
          <w:sz w:val="24"/>
          <w:szCs w:val="24"/>
        </w:rPr>
        <w:t xml:space="preserve"> do MPMG, o Iphan ratificou as análises e diretrizes anteriores para a solução do caso, sintetizadas no </w:t>
      </w:r>
      <w:r>
        <w:rPr>
          <w:rFonts w:ascii="Garamond" w:hAnsi="Garamond"/>
          <w:sz w:val="24"/>
          <w:szCs w:val="24"/>
        </w:rPr>
        <w:t>ofício</w:t>
      </w:r>
      <w:r>
        <w:rPr>
          <w:rFonts w:ascii="Garamond" w:hAnsi="Garamond"/>
          <w:sz w:val="24"/>
          <w:szCs w:val="24"/>
        </w:rPr>
        <w:t xml:space="preserve"> nº GAB/IPHAN/MG nº 2362/12 de 10/10/2012, objeto de análise dos Laudos Técnicos elaborados por este Setor Técnico.  </w:t>
      </w:r>
    </w:p>
    <w:p>
      <w:pPr>
        <w:pStyle w:val="Normal"/>
        <w:spacing w:lineRule="auto" w:line="276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Garamond" w:hAnsi="Garamond"/>
          <w:sz w:val="24"/>
          <w:szCs w:val="24"/>
        </w:rPr>
        <w:tab/>
        <w:t xml:space="preserve">Consta nos autos manifestação datada de 28/05/2018 da Secretaria de Cultura e Patrimônio de Ouro Preto que descreve: “em relação a regularização asfáltica nos trechos citados, informamos que considerando as manifestações do Iphan, as diretrizes de preservação do Núcleo Histórico de Ouro Preto, tombamento municipal que estabelece o calçamento das vias públicas em pedras (paralelepípedo, poliédrico, lajes) como parte integrante dos elementos urbanísticos que compõem o referido conjunto urbano, não há argumentação técnica que contra argumente”. Para manifestação coerente, considerando as decisões anteriores do COMPATRI, propõem a necessidade de apresentação de projetos de drenagem e passeios, atendendo a necessidade de mobilidade e infraestrutura urbana. . </w:t>
      </w:r>
    </w:p>
    <w:p>
      <w:pPr>
        <w:pStyle w:val="Normal"/>
        <w:spacing w:lineRule="auto" w:line="276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Garamond" w:hAnsi="Garamond"/>
          <w:sz w:val="24"/>
          <w:szCs w:val="24"/>
        </w:rPr>
        <w:tab/>
        <w:t xml:space="preserve">Em 10/09/2018 o Município de Ouro Preto encaminhou </w:t>
      </w:r>
      <w:r>
        <w:rPr>
          <w:rFonts w:ascii="Garamond" w:hAnsi="Garamond"/>
          <w:sz w:val="24"/>
          <w:szCs w:val="24"/>
        </w:rPr>
        <w:t>ofício</w:t>
      </w:r>
      <w:r>
        <w:rPr>
          <w:rFonts w:ascii="Garamond" w:hAnsi="Garamond"/>
          <w:sz w:val="24"/>
          <w:szCs w:val="24"/>
        </w:rPr>
        <w:t xml:space="preserve"> à promotoria de Ouro Preto solicitando o estabelecimento de ações mitigatórias e compensatórias pelos danos causados, ouvido o Iphan, mediante a assinatura de um Termo de Ajuste de Conduta entre as partes.  </w:t>
      </w:r>
    </w:p>
    <w:p>
      <w:pPr>
        <w:pStyle w:val="Normal"/>
        <w:spacing w:lineRule="auto" w:line="276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Garamond" w:hAnsi="Garamond"/>
          <w:sz w:val="24"/>
          <w:szCs w:val="24"/>
        </w:rPr>
        <w:tab/>
        <w:t xml:space="preserve">Em 10/07/2019 o Promotor de Justiça da Comarca de Ouro Preto encaminhou o Inquérito Civil para análise desta Coordenadoria. </w:t>
      </w:r>
    </w:p>
    <w:p>
      <w:pPr>
        <w:pStyle w:val="Normal"/>
        <w:spacing w:lineRule="auto" w:line="276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textAlignment w:val="baseline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Conclusão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ab/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No caso em análise, o dano causado ao Núcleo Histórico protegido de Ouro Preto foi o asfaltamento irregular das vias, sem aprovação do órgão competente, comprometendo a ambiência do núcleo histórico e infringindo as diretrizes de proteção estabelecidas para a área. 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ab/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Conforme descrito acima, não há novos fatos novos que justifiquem análise técnica. 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 xml:space="preserve">Este Setor Técnico ratifica as conclusões dos Laudos Técnicos nºs 65/2014, 66/2014 e 67/2014 que, por sua vez, ratificam as recomendações do Iphan e estão descritas no quadro abaixo. 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 </w:t>
      </w:r>
    </w:p>
    <w:tbl>
      <w:tblPr>
        <w:tblW w:w="88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945"/>
        <w:gridCol w:w="5892"/>
      </w:tblGrid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texto3"/>
              <w:spacing w:lineRule="auto" w:line="276" w:before="0" w:after="0"/>
              <w:ind w:left="0" w:right="0" w:hanging="0"/>
              <w:jc w:val="center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LOGRADOURO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ind w:left="0" w:right="0" w:hanging="0"/>
              <w:jc w:val="center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SUGESTÃO LAUDOS TÉCNICOS</w:t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texto3"/>
              <w:spacing w:lineRule="auto" w:line="276" w:before="0" w:after="0"/>
              <w:ind w:left="0" w:right="0" w:hanging="0"/>
              <w:rPr>
                <w:rFonts w:ascii="Garamond" w:hAnsi="Garamond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sz w:val="24"/>
                <w:szCs w:val="24"/>
              </w:rPr>
              <w:t>Desidério de Matos</w:t>
            </w:r>
          </w:p>
          <w:p>
            <w:pPr>
              <w:pStyle w:val="Corpodetexto3"/>
              <w:spacing w:lineRule="auto" w:line="276" w:before="0" w:after="0"/>
              <w:ind w:left="0" w:right="0" w:hanging="0"/>
              <w:rPr>
                <w:rFonts w:ascii="Garamond" w:hAnsi="Garamond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sz w:val="24"/>
                <w:szCs w:val="24"/>
              </w:rPr>
            </w:r>
          </w:p>
          <w:p>
            <w:pPr>
              <w:pStyle w:val="Corpodetexto3"/>
              <w:spacing w:lineRule="auto" w:line="276" w:before="0" w:after="0"/>
              <w:ind w:left="0" w:right="0" w:hanging="0"/>
              <w:rPr>
                <w:rFonts w:ascii="Garamond" w:hAnsi="Garamond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sz w:val="24"/>
                <w:szCs w:val="24"/>
              </w:rPr>
              <w:t>LT 67/2014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right="0" w:hanging="0"/>
              <w:jc w:val="both"/>
              <w:rPr>
                <w:rFonts w:ascii="Garamond" w:hAnsi="Garamond"/>
                <w:sz w:val="24"/>
                <w:szCs w:val="24"/>
                <w:u w:val="none"/>
              </w:rPr>
            </w:pPr>
            <w:r>
              <w:rPr>
                <w:rFonts w:ascii="Garamond" w:hAnsi="Garamond"/>
                <w:sz w:val="24"/>
                <w:szCs w:val="24"/>
                <w:u w:val="none"/>
              </w:rPr>
              <w:t>Remoção da pavimentação asfáltica executada sobre as pedras anteriormente existentes da rua Desidério de Matos no trecho classificado como APE 01 pelo Iphan e ZPE pelo município, da rua Maciel até aproximadamente o alinhamento com a Escola Estadual Desembargador Horácio Andrade.  Os trechos que porventura forem danificados com a remoção do asfalto devem ser recompostos, preservando as características ora existentes.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right="0" w:hanging="0"/>
              <w:jc w:val="both"/>
              <w:rPr>
                <w:rFonts w:ascii="Garamond" w:hAnsi="Garamond"/>
                <w:sz w:val="24"/>
                <w:szCs w:val="24"/>
                <w:u w:val="none"/>
              </w:rPr>
            </w:pPr>
            <w:r>
              <w:rPr>
                <w:rFonts w:ascii="Garamond" w:hAnsi="Garamond"/>
                <w:sz w:val="24"/>
                <w:szCs w:val="24"/>
                <w:u w:val="none"/>
              </w:rPr>
              <w:t>A pavimentação asfáltica poderá ser mantida / regularizada pelo Iphan nos demais trechos da via  uma vez que apesar de se encontrar em área protegida por tombamento, encontra-se fora da Área / Zona de Proteção Especial definidas pelo Iphan e município e   não há proibição expressa da utilização do asfalto e não geram impacto negativo sobre os valores do tombamento do conjunto..</w:t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texto3"/>
              <w:spacing w:lineRule="auto" w:line="276" w:before="0" w:after="0"/>
              <w:ind w:left="0" w:right="0" w:hanging="0"/>
              <w:rPr>
                <w:rFonts w:ascii="Garamond" w:hAnsi="Garamond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sz w:val="24"/>
                <w:szCs w:val="24"/>
              </w:rPr>
              <w:t>Domingos de Abreu</w:t>
            </w:r>
          </w:p>
          <w:p>
            <w:pPr>
              <w:pStyle w:val="Corpodetexto3"/>
              <w:spacing w:lineRule="auto" w:line="276" w:before="0" w:after="0"/>
              <w:ind w:left="0" w:right="0" w:hanging="0"/>
              <w:rPr>
                <w:rFonts w:ascii="Garamond" w:hAnsi="Garamond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sz w:val="24"/>
                <w:szCs w:val="24"/>
              </w:rPr>
            </w:r>
          </w:p>
          <w:p>
            <w:pPr>
              <w:pStyle w:val="Corpodetexto3"/>
              <w:spacing w:lineRule="auto" w:line="276" w:before="0" w:after="0"/>
              <w:ind w:left="0" w:right="0" w:hanging="0"/>
              <w:rPr>
                <w:rFonts w:ascii="Garamond" w:hAnsi="Garamond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sz w:val="24"/>
                <w:szCs w:val="24"/>
              </w:rPr>
              <w:t>LT 66/2014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texto3"/>
              <w:spacing w:before="0" w:after="0"/>
              <w:ind w:left="0" w:right="0" w:hanging="0"/>
              <w:rPr>
                <w:u w:val="none"/>
              </w:rPr>
            </w:pPr>
            <w:r>
              <w:rPr>
                <w:rFonts w:ascii="Garamond" w:hAnsi="Garamond"/>
                <w:sz w:val="24"/>
                <w:szCs w:val="24"/>
                <w:u w:val="none"/>
              </w:rPr>
              <w:t xml:space="preserve">A cobertura asfática deverá ser revertida pois se trata de trecho integrante da Área de Preservação Especial 01, segundo a Portaria 312/2010 do Iphan, e reconhecida como Patrimônio Cultural da Humanidade pela Unesco. Portanto, é necessária a remoção da pavimentação asfáltica executada sobre as pedras anteriormente existentes da rua Domingos de Abreu. </w:t>
            </w:r>
            <w:bookmarkStart w:id="0" w:name="__DdeLink__4242_1168409399"/>
            <w:r>
              <w:rPr>
                <w:rFonts w:ascii="Garamond" w:hAnsi="Garamond"/>
                <w:sz w:val="24"/>
                <w:szCs w:val="24"/>
                <w:u w:val="none"/>
              </w:rPr>
              <w:t>Os trechos que porventura forem danificados com a remoção do asfalto devem ser recompostos, preservando as características ora existentes.</w:t>
            </w:r>
            <w:bookmarkEnd w:id="0"/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texto3"/>
              <w:spacing w:lineRule="auto" w:line="276" w:before="0" w:after="0"/>
              <w:ind w:left="0" w:right="0" w:hanging="0"/>
              <w:rPr>
                <w:rFonts w:ascii="Garamond" w:hAnsi="Garamond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sz w:val="24"/>
                <w:szCs w:val="24"/>
              </w:rPr>
              <w:t>Irmãos Kennedy e Travessa Cristo Rei</w:t>
            </w:r>
          </w:p>
          <w:p>
            <w:pPr>
              <w:pStyle w:val="Corpodetexto3"/>
              <w:spacing w:lineRule="auto" w:line="276" w:before="0" w:after="0"/>
              <w:ind w:left="0" w:right="0" w:hanging="0"/>
              <w:rPr>
                <w:rFonts w:ascii="Garamond" w:hAnsi="Garamond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sz w:val="24"/>
                <w:szCs w:val="24"/>
              </w:rPr>
            </w:r>
          </w:p>
          <w:p>
            <w:pPr>
              <w:pStyle w:val="Corpodetexto3"/>
              <w:spacing w:lineRule="auto" w:line="276" w:before="0" w:after="0"/>
              <w:ind w:left="0" w:right="0" w:hanging="0"/>
              <w:rPr>
                <w:rFonts w:ascii="Garamond" w:hAnsi="Garamond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sz w:val="24"/>
                <w:szCs w:val="24"/>
              </w:rPr>
              <w:t>LT 65/2014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right="0" w:hanging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Remoção da pavimentação asfáltica executada sobre as pedras anteriormente existentes da rua Irmãos Kennedy após o cruzamento com a Travessa Cristo Rei,  no trecho compreendido  entre os números 547 e 377 e inseridos em APE 01, sendo necessária a recomposição dos trechos que forem danificados após a remoção, preservando as características ora existentes. 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right="0" w:hanging="0"/>
              <w:jc w:val="both"/>
              <w:rPr/>
            </w:pPr>
            <w:r>
              <w:rPr>
                <w:rFonts w:ascii="Garamond" w:hAnsi="Garamond"/>
                <w:sz w:val="24"/>
                <w:szCs w:val="24"/>
              </w:rPr>
              <w:t xml:space="preserve">A pavimentação asfáltica poderá ser mantida na travessa Cristo Rei uma vez que apesar de se encontrar em área protegida por tombamento, encontra-se fora da Área / Zona de Proteção Especial definidas pelo Iphan e município e  não há proibição expressa da utilização do asfalto na Portaria 312/2010. </w:t>
            </w:r>
          </w:p>
        </w:tc>
      </w:tr>
    </w:tbl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 xml:space="preserve">Entendemos que as medidas mitigatórias são ações que visem à redução ou eliminação dos impactos negativos causados, no caso em análise, pelo asfaltamento irregular das vias integrantes do núcleo histórico protegido. </w:t>
      </w:r>
      <w:r>
        <w:rPr>
          <w:rFonts w:ascii="Garamond" w:hAnsi="Garamond"/>
          <w:sz w:val="24"/>
          <w:szCs w:val="24"/>
        </w:rPr>
        <w:t>Já as medidas compensatórias são aplicadas para compensar, de alguma forma, os prejuízos e danos efetivos advindos da atividade modificadora do ambiente.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u w:val="single"/>
          <w:lang w:eastAsia="zh-CN"/>
        </w:rPr>
        <w:t xml:space="preserve">Portanto, para solução ou eliminação dos impactos negativos causados, é necessária a remoção da  pavimentação asfáltica executada sobre as pedras anteriormente existentes, conforme descrito no quadro acima.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u w:val="none"/>
          <w:lang w:eastAsia="zh-CN"/>
        </w:rPr>
        <w:t>Os trechos que porventura forem danificados com a remoção do asfalto devem ser recompostos, preservando as características ora existentes.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u w:val="single"/>
          <w:lang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u w:val="single"/>
          <w:lang w:eastAsia="zh-CN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u w:val="none"/>
          <w:lang w:eastAsia="zh-CN"/>
        </w:rPr>
        <w:tab/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u w:val="single"/>
          <w:lang w:eastAsia="zh-CN"/>
        </w:rPr>
        <w:t xml:space="preserve">Medidas compensatórias deverão ser estabelecidas, a critério do Iphan e do COMPATRI, pela permanência irregular do asfalto sobre o calçamento original, desde a data da sua instalação até a sua remoção.  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</w:r>
      <w:r>
        <w:rPr>
          <w:rFonts w:ascii="Garamond" w:hAnsi="Garamond"/>
          <w:b w:val="false"/>
          <w:bCs w:val="false"/>
          <w:i w:val="false"/>
          <w:iCs w:val="false"/>
          <w:sz w:val="24"/>
          <w:szCs w:val="24"/>
        </w:rPr>
        <w:t xml:space="preserve">O direito ambiental atua de forma a considerar, em primeiro plano, a prevenção, seguida da recuperação e, por fim, o ressarcimento. (STJ; REsp 1.115.555; Proc. 2009/0004061-1; MG; Rel. </w:t>
      </w:r>
      <w:r>
        <w:rPr>
          <w:rFonts w:eastAsia="Times New Roman" w:cs="Garamond" w:ascii="Garamond" w:hAnsi="Garamond"/>
          <w:b w:val="false"/>
          <w:bCs w:val="false"/>
          <w:i w:val="false"/>
          <w:iCs w:val="false"/>
          <w:sz w:val="24"/>
          <w:szCs w:val="24"/>
          <w:lang w:eastAsia="zh-CN"/>
        </w:rPr>
        <w:t>Min. Arnaldo Esteves Lima; Julg. 15/02/2011)</w:t>
      </w:r>
    </w:p>
    <w:p>
      <w:pPr>
        <w:pStyle w:val="Normal"/>
        <w:suppressAutoHyphens w:val="true"/>
        <w:spacing w:before="0" w:after="0"/>
        <w:ind w:firstLine="708"/>
        <w:jc w:val="both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Encerramento</w:t>
      </w:r>
    </w:p>
    <w:p>
      <w:pPr>
        <w:pStyle w:val="Normal"/>
        <w:suppressAutoHyphens w:val="true"/>
        <w:spacing w:before="0" w:after="0"/>
        <w:ind w:firstLine="709"/>
        <w:jc w:val="both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709"/>
        <w:jc w:val="both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São essas as considerações do Setor Técnico desta Promotoria, que se coloca à disposição para o que mais se fizer necessário.</w:t>
      </w:r>
    </w:p>
    <w:p>
      <w:pPr>
        <w:pStyle w:val="Normal"/>
        <w:suppressAutoHyphens w:val="true"/>
        <w:spacing w:before="0" w:after="0"/>
        <w:ind w:firstLine="2160"/>
        <w:jc w:val="right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2160"/>
        <w:jc w:val="right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2160"/>
        <w:jc w:val="right"/>
        <w:textAlignment w:val="baseline"/>
        <w:rPr/>
      </w:pPr>
      <w:r>
        <w:rPr>
          <w:rFonts w:eastAsia="Times New Roman" w:cs="Garamond" w:ascii="Garamond" w:hAnsi="Garamond"/>
          <w:sz w:val="24"/>
          <w:szCs w:val="24"/>
          <w:lang w:eastAsia="zh-CN"/>
        </w:rPr>
        <w:t xml:space="preserve">Belo Horizonte, 01  de agosto de 2019. </w:t>
      </w:r>
    </w:p>
    <w:p>
      <w:pPr>
        <w:pStyle w:val="Normal"/>
        <w:suppressAutoHyphens w:val="true"/>
        <w:spacing w:before="0" w:after="0"/>
        <w:ind w:firstLine="709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709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709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Andréa Lanna Mendes Novais</w:t>
      </w:r>
    </w:p>
    <w:p>
      <w:pPr>
        <w:pStyle w:val="Normal"/>
        <w:suppressAutoHyphens w:val="true"/>
        <w:spacing w:before="0" w:after="0"/>
        <w:ind w:firstLine="709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Analista do Ministério Público – MAMP 3951</w:t>
      </w:r>
    </w:p>
    <w:p>
      <w:pPr>
        <w:pStyle w:val="Normal"/>
        <w:suppressAutoHyphens w:val="true"/>
        <w:spacing w:before="0" w:after="0"/>
        <w:ind w:firstLine="709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Arquiteta Urbanista – CAU 27713-4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567" w:top="624" w:footer="567" w:bottom="62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suppressAutoHyphens w:val="true"/>
      <w:spacing w:lineRule="auto" w:line="240" w:before="0" w:after="0"/>
      <w:textAlignment w:val="baseline"/>
      <w:rPr>
        <w:rFonts w:ascii="Times New Roman" w:hAnsi="Times New Roman" w:eastAsia="Times New Roman" w:cs="Times New Roman"/>
        <w:sz w:val="24"/>
        <w:szCs w:val="24"/>
        <w:lang w:eastAsia="zh-CN"/>
      </w:rPr>
    </w:pPr>
    <w:r>
      <w:rPr>
        <w:rFonts w:eastAsia="Times New Roman" w:cs="Times New Roman" w:ascii="Times New Roman" w:hAnsi="Times New Roman"/>
        <w:sz w:val="24"/>
        <w:szCs w:val="24"/>
        <w:lang w:eastAsia="zh-C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suppressAutoHyphens w:val="true"/>
      <w:spacing w:lineRule="auto" w:line="240" w:before="0" w:after="0"/>
      <w:ind w:right="360" w:hanging="0"/>
      <w:jc w:val="center"/>
      <w:textAlignment w:val="baseline"/>
      <w:rPr/>
    </w:pPr>
    <w:bookmarkStart w:id="1" w:name="_GoBack"/>
    <w:bookmarkEnd w:id="1"/>
    <w:r>
      <w:rPr/>
      <w:drawing>
        <wp:inline distT="0" distB="0" distL="0" distR="0">
          <wp:extent cx="5334000" cy="807085"/>
          <wp:effectExtent l="0" t="0" r="0" b="0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1" r="-9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0180"/>
              <wp:effectExtent l="0" t="0" r="0" b="0"/>
              <wp:wrapSquare wrapText="bothSides"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426.7pt;margin-top:0.05pt;width:6.1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106680</wp:posOffset>
          </wp:positionH>
          <wp:positionV relativeFrom="paragraph">
            <wp:posOffset>9044305</wp:posOffset>
          </wp:positionV>
          <wp:extent cx="5399405" cy="446405"/>
          <wp:effectExtent l="0" t="0" r="0" b="0"/>
          <wp:wrapSquare wrapText="largest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" t="-112" r="-9" b="-112"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c72399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c72399"/>
    <w:rPr>
      <w:rFonts w:ascii="Times New Roman" w:hAnsi="Times New Roman" w:eastAsia="SimSun" w:cs="Mangal"/>
      <w:sz w:val="20"/>
      <w:szCs w:val="18"/>
      <w:lang w:eastAsia="zh-CN" w:bidi="hi-I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7239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72399"/>
    <w:rPr/>
  </w:style>
  <w:style w:type="character" w:styleId="Pagenumber">
    <w:name w:val="page number"/>
    <w:basedOn w:val="DefaultParagraphFont"/>
    <w:qFormat/>
    <w:rsid w:val="00c7239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72399"/>
    <w:rPr>
      <w:rFonts w:ascii="Tahoma" w:hAnsi="Tahoma" w:cs="Tahoma"/>
      <w:sz w:val="16"/>
      <w:szCs w:val="16"/>
    </w:rPr>
  </w:style>
  <w:style w:type="character" w:styleId="Fontepargpadro">
    <w:name w:val="Fonte parág. padrão"/>
    <w:qFormat/>
    <w:rPr/>
  </w:style>
  <w:style w:type="character" w:styleId="Caracteresdenotaderodap">
    <w:name w:val="Caracteres de nota de rodapé"/>
    <w:basedOn w:val="Fontepargpadro"/>
    <w:qFormat/>
    <w:rPr>
      <w:vertAlign w:val="superscript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ListLabel1">
    <w:name w:val="ListLabel 1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qFormat/>
    <w:rsid w:val="00c72399"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Mangal"/>
      <w:sz w:val="20"/>
      <w:szCs w:val="18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7239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7239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723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692"/>
    <w:pPr>
      <w:spacing w:before="0" w:after="20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paragraph" w:styleId="Corpodetexto3">
    <w:name w:val="Corpo de texto 3"/>
    <w:basedOn w:val="Normal"/>
    <w:qFormat/>
    <w:pPr>
      <w:jc w:val="both"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Recuodecorpodetexto3">
    <w:name w:val="Recuo de corpo de texto 3"/>
    <w:basedOn w:val="Normal"/>
    <w:qFormat/>
    <w:pPr>
      <w:ind w:firstLine="708"/>
      <w:jc w:val="both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LibreOffice/6.0.5.2$Windows_X86_64 LibreOffice_project/54c8cbb85f300ac59db32fe8a675ff7683cd5a16</Application>
  <Pages>4</Pages>
  <Words>1236</Words>
  <Characters>6882</Characters>
  <CharactersWithSpaces>8114</CharactersWithSpaces>
  <Paragraphs>49</Paragraphs>
  <Company>Ministério Público do Estado de Minas Gerais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2017-08-21T18:39:00Z</dcterms:created>
  <dc:creator>Andrea Lanna Mendes Novais</dc:creator>
  <dc:description/>
  <dc:language>pt-BR</dc:language>
  <cp:lastModifiedBy/>
  <cp:lastPrinted>2019-08-20T16:54:03Z</cp:lastPrinted>
  <dcterms:modified xsi:type="dcterms:W3CDTF">2019-08-20T16:53:48Z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Ministério Público do Estado de Minas Gerais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