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0A4" w:rsidRDefault="009F3A06" w:rsidP="00884524">
      <w:pPr>
        <w:pStyle w:val="Ttulo3"/>
        <w:spacing w:line="276" w:lineRule="auto"/>
        <w:jc w:val="center"/>
        <w:rPr>
          <w:rFonts w:ascii="Garamond" w:eastAsia="Garamond" w:hAnsi="Garamond" w:cs="Garamond"/>
          <w:sz w:val="24"/>
        </w:rPr>
      </w:pPr>
      <w:r>
        <w:rPr>
          <w:rFonts w:ascii="Garamond" w:eastAsia="Garamond" w:hAnsi="Garamond" w:cs="Garamond"/>
          <w:sz w:val="24"/>
        </w:rPr>
        <w:t xml:space="preserve"> </w:t>
      </w:r>
    </w:p>
    <w:p w:rsidR="001010A4" w:rsidRDefault="00363DF6" w:rsidP="00884524">
      <w:pPr>
        <w:pStyle w:val="Ttulo3"/>
        <w:spacing w:line="276" w:lineRule="auto"/>
        <w:jc w:val="center"/>
      </w:pPr>
      <w:r>
        <w:rPr>
          <w:rFonts w:ascii="Garamond" w:hAnsi="Garamond" w:cs="Garamond"/>
          <w:sz w:val="24"/>
        </w:rPr>
        <w:t xml:space="preserve">LAUDO TÉCNICO N º </w:t>
      </w:r>
      <w:bookmarkStart w:id="0" w:name="_GoBack"/>
      <w:bookmarkEnd w:id="0"/>
      <w:r>
        <w:rPr>
          <w:rFonts w:ascii="Garamond" w:hAnsi="Garamond" w:cs="Garamond"/>
          <w:sz w:val="24"/>
        </w:rPr>
        <w:t>16</w:t>
      </w:r>
      <w:r w:rsidR="009F3A06">
        <w:rPr>
          <w:rFonts w:ascii="Garamond" w:hAnsi="Garamond" w:cs="Garamond"/>
          <w:sz w:val="24"/>
        </w:rPr>
        <w:t>/ 2017</w:t>
      </w:r>
    </w:p>
    <w:p w:rsidR="001010A4" w:rsidRDefault="001010A4" w:rsidP="00884524">
      <w:pPr>
        <w:pStyle w:val="Textbody"/>
        <w:spacing w:line="276" w:lineRule="auto"/>
        <w:rPr>
          <w:rFonts w:ascii="Garamond" w:hAnsi="Garamond" w:cs="Garamond"/>
          <w:sz w:val="24"/>
        </w:rPr>
      </w:pPr>
    </w:p>
    <w:p w:rsidR="001010A4" w:rsidRDefault="00C6698F" w:rsidP="00884524">
      <w:pPr>
        <w:pStyle w:val="Textbody"/>
        <w:spacing w:line="276" w:lineRule="auto"/>
        <w:jc w:val="center"/>
        <w:rPr>
          <w:rFonts w:ascii="Garamond" w:hAnsi="Garamond" w:cs="Garamond"/>
          <w:b/>
          <w:bCs/>
          <w:sz w:val="24"/>
        </w:rPr>
      </w:pPr>
      <w:r>
        <w:rPr>
          <w:rFonts w:ascii="Garamond" w:hAnsi="Garamond" w:cs="Garamond"/>
          <w:b/>
          <w:bCs/>
          <w:sz w:val="24"/>
        </w:rPr>
        <w:t>PAAF nº 0024.17.003566-1</w:t>
      </w:r>
    </w:p>
    <w:p w:rsidR="001010A4" w:rsidRDefault="009F3A06" w:rsidP="00884524">
      <w:pPr>
        <w:pStyle w:val="Standard"/>
        <w:spacing w:line="276" w:lineRule="auto"/>
        <w:jc w:val="center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>Inq</w:t>
      </w:r>
      <w:r w:rsidR="00C6698F">
        <w:rPr>
          <w:rFonts w:ascii="Garamond" w:hAnsi="Garamond" w:cs="Garamond"/>
          <w:b/>
          <w:bCs/>
        </w:rPr>
        <w:t>uérito Civil nº 0470.07.000026-5</w:t>
      </w:r>
    </w:p>
    <w:p w:rsidR="001010A4" w:rsidRDefault="001010A4" w:rsidP="00884524">
      <w:pPr>
        <w:pStyle w:val="Standard"/>
        <w:spacing w:line="276" w:lineRule="auto"/>
        <w:jc w:val="center"/>
        <w:rPr>
          <w:rFonts w:ascii="Garamond" w:hAnsi="Garamond" w:cs="Garamond"/>
          <w:b/>
          <w:bCs/>
        </w:rPr>
      </w:pPr>
    </w:p>
    <w:p w:rsidR="001010A4" w:rsidRDefault="009F3A06" w:rsidP="00884524">
      <w:pPr>
        <w:pStyle w:val="Standard"/>
        <w:numPr>
          <w:ilvl w:val="0"/>
          <w:numId w:val="18"/>
        </w:numPr>
        <w:spacing w:line="276" w:lineRule="auto"/>
        <w:ind w:left="0"/>
        <w:jc w:val="both"/>
      </w:pPr>
      <w:r>
        <w:rPr>
          <w:rFonts w:ascii="Garamond" w:hAnsi="Garamond" w:cs="Garamond"/>
          <w:b/>
        </w:rPr>
        <w:t>Objeto</w:t>
      </w:r>
      <w:r>
        <w:rPr>
          <w:rFonts w:ascii="Garamond" w:hAnsi="Garamond" w:cs="Garamond"/>
        </w:rPr>
        <w:t>: Edificação residencial.</w:t>
      </w:r>
    </w:p>
    <w:p w:rsidR="001010A4" w:rsidRDefault="001010A4" w:rsidP="00884524">
      <w:pPr>
        <w:pStyle w:val="Standard"/>
        <w:spacing w:line="276" w:lineRule="auto"/>
        <w:jc w:val="both"/>
        <w:rPr>
          <w:rFonts w:ascii="Garamond" w:hAnsi="Garamond" w:cs="Garamond"/>
        </w:rPr>
      </w:pPr>
    </w:p>
    <w:p w:rsidR="001010A4" w:rsidRDefault="009F3A06" w:rsidP="00884524">
      <w:pPr>
        <w:pStyle w:val="Standard"/>
        <w:numPr>
          <w:ilvl w:val="0"/>
          <w:numId w:val="18"/>
        </w:numPr>
        <w:spacing w:line="276" w:lineRule="auto"/>
        <w:ind w:left="0"/>
        <w:jc w:val="both"/>
      </w:pPr>
      <w:r>
        <w:rPr>
          <w:rFonts w:ascii="Garamond" w:hAnsi="Garamond" w:cs="Garamond"/>
          <w:b/>
        </w:rPr>
        <w:t xml:space="preserve">Endereço: </w:t>
      </w:r>
      <w:r w:rsidR="000B53D8">
        <w:rPr>
          <w:rFonts w:ascii="Garamond" w:hAnsi="Garamond" w:cs="Garamond"/>
        </w:rPr>
        <w:t xml:space="preserve">Rua </w:t>
      </w:r>
      <w:r w:rsidR="00C6698F">
        <w:rPr>
          <w:rFonts w:ascii="Garamond" w:hAnsi="Garamond" w:cs="Garamond"/>
        </w:rPr>
        <w:t>Goiás 474</w:t>
      </w:r>
      <w:r>
        <w:rPr>
          <w:rFonts w:ascii="Garamond" w:hAnsi="Garamond" w:cs="Garamond"/>
        </w:rPr>
        <w:t>.</w:t>
      </w:r>
    </w:p>
    <w:p w:rsidR="001010A4" w:rsidRDefault="001010A4" w:rsidP="00884524">
      <w:pPr>
        <w:pStyle w:val="Standard"/>
        <w:spacing w:line="276" w:lineRule="auto"/>
        <w:jc w:val="both"/>
        <w:rPr>
          <w:rFonts w:ascii="Garamond" w:hAnsi="Garamond" w:cs="Garamond"/>
          <w:b/>
        </w:rPr>
      </w:pPr>
    </w:p>
    <w:p w:rsidR="001010A4" w:rsidRDefault="009F3A06" w:rsidP="00884524">
      <w:pPr>
        <w:pStyle w:val="Standard"/>
        <w:numPr>
          <w:ilvl w:val="0"/>
          <w:numId w:val="18"/>
        </w:numPr>
        <w:spacing w:line="276" w:lineRule="auto"/>
        <w:ind w:left="0"/>
        <w:jc w:val="both"/>
      </w:pPr>
      <w:r>
        <w:rPr>
          <w:rFonts w:ascii="Garamond" w:hAnsi="Garamond" w:cs="Garamond"/>
          <w:b/>
        </w:rPr>
        <w:t xml:space="preserve">Proprietário: </w:t>
      </w:r>
      <w:r w:rsidR="00C6698F">
        <w:rPr>
          <w:rFonts w:ascii="Garamond" w:hAnsi="Garamond" w:cs="Garamond"/>
        </w:rPr>
        <w:t>Márcio Oliveira Gomes.</w:t>
      </w:r>
    </w:p>
    <w:p w:rsidR="001010A4" w:rsidRDefault="001010A4" w:rsidP="00884524">
      <w:pPr>
        <w:pStyle w:val="Standard"/>
        <w:spacing w:line="276" w:lineRule="auto"/>
        <w:jc w:val="both"/>
        <w:rPr>
          <w:rFonts w:ascii="Garamond" w:hAnsi="Garamond" w:cs="Garamond"/>
          <w:b/>
        </w:rPr>
      </w:pPr>
    </w:p>
    <w:p w:rsidR="001010A4" w:rsidRDefault="009F3A06" w:rsidP="00884524">
      <w:pPr>
        <w:pStyle w:val="Standard"/>
        <w:numPr>
          <w:ilvl w:val="0"/>
          <w:numId w:val="18"/>
        </w:numPr>
        <w:spacing w:line="276" w:lineRule="auto"/>
        <w:ind w:left="0"/>
        <w:jc w:val="both"/>
      </w:pPr>
      <w:r>
        <w:rPr>
          <w:rFonts w:ascii="Garamond" w:hAnsi="Garamond" w:cs="Garamond"/>
          <w:b/>
        </w:rPr>
        <w:t xml:space="preserve">Município: </w:t>
      </w:r>
      <w:r>
        <w:rPr>
          <w:rFonts w:ascii="Garamond" w:hAnsi="Garamond" w:cs="Garamond"/>
        </w:rPr>
        <w:t>Paracatu – MG</w:t>
      </w:r>
      <w:r>
        <w:rPr>
          <w:rFonts w:ascii="Garamond" w:hAnsi="Garamond" w:cs="Garamond"/>
          <w:b/>
        </w:rPr>
        <w:t>.</w:t>
      </w:r>
    </w:p>
    <w:p w:rsidR="001010A4" w:rsidRDefault="001010A4" w:rsidP="00884524">
      <w:pPr>
        <w:pStyle w:val="PargrafodaLista"/>
        <w:spacing w:line="276" w:lineRule="auto"/>
        <w:ind w:left="0"/>
        <w:rPr>
          <w:rFonts w:ascii="Garamond" w:hAnsi="Garamond" w:cs="Garamond"/>
          <w:b/>
        </w:rPr>
      </w:pPr>
    </w:p>
    <w:p w:rsidR="001010A4" w:rsidRDefault="009F3A06" w:rsidP="00884524">
      <w:pPr>
        <w:pStyle w:val="Standard"/>
        <w:numPr>
          <w:ilvl w:val="0"/>
          <w:numId w:val="18"/>
        </w:numPr>
        <w:spacing w:line="276" w:lineRule="auto"/>
        <w:ind w:left="0"/>
        <w:jc w:val="both"/>
      </w:pPr>
      <w:r>
        <w:rPr>
          <w:rFonts w:ascii="Garamond" w:hAnsi="Garamond" w:cs="Garamond"/>
          <w:b/>
        </w:rPr>
        <w:t xml:space="preserve">Proteção existente: </w:t>
      </w:r>
      <w:r>
        <w:rPr>
          <w:rFonts w:ascii="Garamond" w:hAnsi="Garamond" w:cs="Garamond"/>
        </w:rPr>
        <w:t>Protegida pelo Decreto Municipal nº 2465/98</w:t>
      </w:r>
      <w:r w:rsidR="000B53D8">
        <w:rPr>
          <w:rFonts w:ascii="Garamond" w:hAnsi="Garamond" w:cs="Garamond"/>
        </w:rPr>
        <w:t xml:space="preserve"> (edificação tradicional</w:t>
      </w:r>
      <w:r w:rsidR="003D2293">
        <w:rPr>
          <w:rFonts w:ascii="Garamond" w:hAnsi="Garamond" w:cs="Garamond"/>
        </w:rPr>
        <w:t xml:space="preserve"> comum</w:t>
      </w:r>
      <w:r w:rsidR="000B53D8">
        <w:rPr>
          <w:rFonts w:ascii="Garamond" w:hAnsi="Garamond" w:cs="Garamond"/>
        </w:rPr>
        <w:t>)</w:t>
      </w:r>
      <w:r>
        <w:rPr>
          <w:rFonts w:ascii="Garamond" w:hAnsi="Garamond" w:cs="Garamond"/>
        </w:rPr>
        <w:t xml:space="preserve">, inserida </w:t>
      </w:r>
      <w:r w:rsidRPr="0007344E">
        <w:rPr>
          <w:rFonts w:ascii="Garamond" w:hAnsi="Garamond" w:cs="Garamond"/>
        </w:rPr>
        <w:t>no perímetro de entorno</w:t>
      </w:r>
      <w:r>
        <w:rPr>
          <w:rFonts w:ascii="Garamond" w:hAnsi="Garamond" w:cs="Garamond"/>
        </w:rPr>
        <w:t xml:space="preserve"> de tombamento federal do Núcleo Histórico de Paracatu.</w:t>
      </w:r>
    </w:p>
    <w:p w:rsidR="001010A4" w:rsidRDefault="001010A4" w:rsidP="00884524">
      <w:pPr>
        <w:pStyle w:val="Standard"/>
        <w:spacing w:line="276" w:lineRule="auto"/>
        <w:jc w:val="both"/>
        <w:rPr>
          <w:rFonts w:ascii="Garamond" w:hAnsi="Garamond" w:cs="Garamond"/>
          <w:b/>
        </w:rPr>
      </w:pPr>
    </w:p>
    <w:p w:rsidR="001010A4" w:rsidRDefault="009F3A06" w:rsidP="00884524">
      <w:pPr>
        <w:pStyle w:val="Standard"/>
        <w:numPr>
          <w:ilvl w:val="0"/>
          <w:numId w:val="18"/>
        </w:numPr>
        <w:spacing w:line="276" w:lineRule="auto"/>
        <w:ind w:left="0"/>
        <w:jc w:val="both"/>
      </w:pPr>
      <w:r>
        <w:rPr>
          <w:rFonts w:ascii="Garamond" w:hAnsi="Garamond" w:cs="Garamond"/>
          <w:b/>
        </w:rPr>
        <w:t xml:space="preserve">Objetivo: </w:t>
      </w:r>
      <w:r w:rsidR="00C6698F" w:rsidRPr="00C6698F">
        <w:rPr>
          <w:rFonts w:ascii="Garamond" w:hAnsi="Garamond" w:cs="Garamond"/>
        </w:rPr>
        <w:t xml:space="preserve">Valoração monetária de danos ao patrimônio cultural. </w:t>
      </w:r>
      <w:r w:rsidRPr="00C6698F">
        <w:rPr>
          <w:rFonts w:ascii="Garamond" w:hAnsi="Garamond" w:cs="Garamond"/>
        </w:rPr>
        <w:t>.</w:t>
      </w:r>
    </w:p>
    <w:p w:rsidR="001010A4" w:rsidRDefault="001010A4" w:rsidP="00884524">
      <w:pPr>
        <w:pStyle w:val="Standard"/>
        <w:spacing w:line="276" w:lineRule="auto"/>
        <w:jc w:val="both"/>
        <w:rPr>
          <w:rFonts w:ascii="Garamond" w:hAnsi="Garamond" w:cs="Garamond"/>
          <w:b/>
        </w:rPr>
      </w:pPr>
    </w:p>
    <w:p w:rsidR="001010A4" w:rsidRPr="00E24228" w:rsidRDefault="009F3A06" w:rsidP="00884524">
      <w:pPr>
        <w:pStyle w:val="Standard"/>
        <w:numPr>
          <w:ilvl w:val="0"/>
          <w:numId w:val="18"/>
        </w:numPr>
        <w:spacing w:line="276" w:lineRule="auto"/>
        <w:ind w:left="0"/>
        <w:jc w:val="both"/>
        <w:rPr>
          <w:rFonts w:ascii="Garamond" w:hAnsi="Garamond" w:cs="Garamond"/>
          <w:b/>
          <w:bCs/>
        </w:rPr>
      </w:pPr>
      <w:r w:rsidRPr="00E24228">
        <w:rPr>
          <w:rFonts w:ascii="Garamond" w:hAnsi="Garamond" w:cs="Garamond"/>
          <w:b/>
          <w:bCs/>
        </w:rPr>
        <w:t>Contextualização:</w:t>
      </w:r>
    </w:p>
    <w:p w:rsidR="001010A4" w:rsidRDefault="001010A4" w:rsidP="00884524">
      <w:pPr>
        <w:pStyle w:val="Standard"/>
        <w:spacing w:line="276" w:lineRule="auto"/>
        <w:jc w:val="both"/>
        <w:rPr>
          <w:rFonts w:ascii="Garamond" w:hAnsi="Garamond" w:cs="Garamond"/>
          <w:b/>
          <w:bCs/>
          <w:szCs w:val="27"/>
        </w:rPr>
      </w:pPr>
    </w:p>
    <w:p w:rsidR="003B7C1E" w:rsidRDefault="003B7C1E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 xml:space="preserve">Em 08/11/1999 o senhor Jonas Gomes solicitou ao Secretario Municipal de Obras de Paracatu Alvará de demolição do imóvel localizado na </w:t>
      </w:r>
      <w:proofErr w:type="gramStart"/>
      <w:r>
        <w:rPr>
          <w:rFonts w:ascii="Garamond" w:hAnsi="Garamond" w:cs="Garamond"/>
          <w:szCs w:val="27"/>
        </w:rPr>
        <w:t>rua</w:t>
      </w:r>
      <w:proofErr w:type="gramEnd"/>
      <w:r>
        <w:rPr>
          <w:rFonts w:ascii="Garamond" w:hAnsi="Garamond" w:cs="Garamond"/>
          <w:szCs w:val="27"/>
        </w:rPr>
        <w:t xml:space="preserve"> Goiás nº 474, tendo em vista o principio de arruinamento do mesmo. </w:t>
      </w:r>
    </w:p>
    <w:p w:rsidR="00F312F6" w:rsidRDefault="00F312F6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</w:p>
    <w:p w:rsidR="00F312F6" w:rsidRDefault="00F312F6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>Em 11/11/1999 foi realizada vistoria no imóvel e elaborado laudo que atestou o inicio de arruinamento da edificação, sendo recomendado que, devido ao alto custo da restauração, o município interferisse na restauração do mesmo.</w:t>
      </w:r>
    </w:p>
    <w:p w:rsidR="003B7C1E" w:rsidRDefault="003B7C1E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</w:p>
    <w:p w:rsidR="002879DF" w:rsidRDefault="002879DF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 xml:space="preserve">Em 05/01/2000 a Policia Militar enviou oficio ao então Prefeito Municipal de Paracatu </w:t>
      </w:r>
      <w:r w:rsidR="003B7C1E">
        <w:rPr>
          <w:rFonts w:ascii="Garamond" w:hAnsi="Garamond" w:cs="Garamond"/>
          <w:szCs w:val="27"/>
        </w:rPr>
        <w:t xml:space="preserve">informando sobre os riscos à segurança da população devido a existência de casarão em mau estado de conservação localizado na </w:t>
      </w:r>
      <w:proofErr w:type="gramStart"/>
      <w:r w:rsidR="003B7C1E">
        <w:rPr>
          <w:rFonts w:ascii="Garamond" w:hAnsi="Garamond" w:cs="Garamond"/>
          <w:szCs w:val="27"/>
        </w:rPr>
        <w:t>rua</w:t>
      </w:r>
      <w:proofErr w:type="gramEnd"/>
      <w:r w:rsidR="003B7C1E">
        <w:rPr>
          <w:rFonts w:ascii="Garamond" w:hAnsi="Garamond" w:cs="Garamond"/>
          <w:szCs w:val="27"/>
        </w:rPr>
        <w:t xml:space="preserve"> Pinheiro Chagas, esquina com a rua Goiás.</w:t>
      </w:r>
    </w:p>
    <w:p w:rsidR="003B7C1E" w:rsidRDefault="003B7C1E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</w:p>
    <w:p w:rsidR="003B7C1E" w:rsidRDefault="003B7C1E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 xml:space="preserve">Em 12/02/2000 foi elaborado Laudo de Vistoria do imóvel localizado a </w:t>
      </w:r>
      <w:proofErr w:type="gramStart"/>
      <w:r>
        <w:rPr>
          <w:rFonts w:ascii="Garamond" w:hAnsi="Garamond" w:cs="Garamond"/>
          <w:szCs w:val="27"/>
        </w:rPr>
        <w:t>rua</w:t>
      </w:r>
      <w:proofErr w:type="gramEnd"/>
      <w:r>
        <w:rPr>
          <w:rFonts w:ascii="Garamond" w:hAnsi="Garamond" w:cs="Garamond"/>
          <w:szCs w:val="27"/>
        </w:rPr>
        <w:t xml:space="preserve"> Goiás nº 474 pelo engenheiro </w:t>
      </w:r>
      <w:proofErr w:type="spellStart"/>
      <w:r>
        <w:rPr>
          <w:rFonts w:ascii="Garamond" w:hAnsi="Garamond" w:cs="Garamond"/>
          <w:szCs w:val="27"/>
        </w:rPr>
        <w:t>Jueli</w:t>
      </w:r>
      <w:proofErr w:type="spellEnd"/>
      <w:r>
        <w:rPr>
          <w:rFonts w:ascii="Garamond" w:hAnsi="Garamond" w:cs="Garamond"/>
          <w:szCs w:val="27"/>
        </w:rPr>
        <w:t xml:space="preserve"> Cardoso Jordão, sendo constatado que o imóvel encontrava-se em avançado estado de degradação, causado pela não manutenção da integridade da cobertura. 30 % da cobertura </w:t>
      </w:r>
      <w:r w:rsidR="00EA2BC2">
        <w:rPr>
          <w:rFonts w:ascii="Garamond" w:hAnsi="Garamond" w:cs="Garamond"/>
          <w:szCs w:val="27"/>
        </w:rPr>
        <w:t>havia</w:t>
      </w:r>
      <w:r>
        <w:rPr>
          <w:rFonts w:ascii="Garamond" w:hAnsi="Garamond" w:cs="Garamond"/>
          <w:szCs w:val="27"/>
        </w:rPr>
        <w:t xml:space="preserve"> ruído e algumas paredes encontravam-se inclinadas e foram escoradas pelo Poder Público Municipal. Concluiu que embora a recuperação do imóvel fosse considerada onerosa, a recuperação da mesma era possível e necessária. O laudo técnico foi aprovado por unanimidade em 22/02/2000, na reunião do Conselho Municipal do Patrimônio Cultural de Paracatu, e o pedido de demolição do imóvel foi indeferido.</w:t>
      </w:r>
    </w:p>
    <w:p w:rsidR="00F312F6" w:rsidRDefault="00F312F6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lastRenderedPageBreak/>
        <w:t>Em 16/02/2000 aquele engenheiro informou que estavam fazendo esforços para conseguir doação de madeira junto ao IBAMA a serem empregadas na restauração do imóvel e solicita ao Poder Público Municipal ação mínima e</w:t>
      </w:r>
      <w:r w:rsidR="00EA2BC2">
        <w:rPr>
          <w:rFonts w:ascii="Garamond" w:hAnsi="Garamond" w:cs="Garamond"/>
          <w:szCs w:val="27"/>
        </w:rPr>
        <w:t>mergencial com dotação orçamentá</w:t>
      </w:r>
      <w:r>
        <w:rPr>
          <w:rFonts w:ascii="Garamond" w:hAnsi="Garamond" w:cs="Garamond"/>
          <w:szCs w:val="27"/>
        </w:rPr>
        <w:t>ria para investir na preservação do imóvel.</w:t>
      </w:r>
    </w:p>
    <w:p w:rsidR="00F312F6" w:rsidRDefault="00F312F6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</w:p>
    <w:p w:rsidR="00F312F6" w:rsidRDefault="00F312F6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>O imóvel foi demolido</w:t>
      </w:r>
      <w:r w:rsidR="00EA2BC2">
        <w:rPr>
          <w:rFonts w:ascii="Garamond" w:hAnsi="Garamond" w:cs="Garamond"/>
          <w:szCs w:val="27"/>
        </w:rPr>
        <w:t xml:space="preserve"> / arruinou-se</w:t>
      </w:r>
      <w:r>
        <w:rPr>
          <w:rFonts w:ascii="Garamond" w:hAnsi="Garamond" w:cs="Garamond"/>
          <w:szCs w:val="27"/>
        </w:rPr>
        <w:t xml:space="preserve"> em 2000 e foram abertos processos </w:t>
      </w:r>
      <w:r w:rsidR="003D2293">
        <w:rPr>
          <w:rFonts w:ascii="Garamond" w:hAnsi="Garamond" w:cs="Garamond"/>
          <w:szCs w:val="27"/>
        </w:rPr>
        <w:t xml:space="preserve">a pedido do COMPHAP </w:t>
      </w:r>
      <w:r>
        <w:rPr>
          <w:rFonts w:ascii="Garamond" w:hAnsi="Garamond" w:cs="Garamond"/>
          <w:szCs w:val="27"/>
        </w:rPr>
        <w:t>junto ao Ministério Público Federal e Iphan, respectivamente sob os números 1.00.000.004637/2004-51 e 01450005491-200481.</w:t>
      </w:r>
    </w:p>
    <w:p w:rsidR="003D2293" w:rsidRDefault="003D2293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</w:p>
    <w:p w:rsidR="003D2293" w:rsidRDefault="003D2293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>Em 2006 foi submetido projeto para análise do COMPHAP no terreno resultante da demolição que foi indeferido por não respeitar a normatização vigente para a zona urbana histórica da cidade de Paracatu.</w:t>
      </w:r>
    </w:p>
    <w:p w:rsidR="003B7C1E" w:rsidRDefault="003B7C1E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szCs w:val="27"/>
        </w:rPr>
      </w:pPr>
    </w:p>
    <w:p w:rsidR="001010A4" w:rsidRPr="003D2293" w:rsidRDefault="00C6698F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bCs/>
          <w:szCs w:val="27"/>
        </w:rPr>
      </w:pPr>
      <w:r>
        <w:rPr>
          <w:rFonts w:ascii="Garamond" w:hAnsi="Garamond" w:cs="Garamond"/>
          <w:szCs w:val="27"/>
        </w:rPr>
        <w:t xml:space="preserve">Em 22/01/2007 chegou ao conhecimento da Promotoria de Justiça da Comarca de Paracatu a ocorrência de danos em imóvel de valor histórico situado na </w:t>
      </w:r>
      <w:proofErr w:type="gramStart"/>
      <w:r>
        <w:rPr>
          <w:rFonts w:ascii="Garamond" w:hAnsi="Garamond" w:cs="Garamond"/>
          <w:szCs w:val="27"/>
        </w:rPr>
        <w:t>rua</w:t>
      </w:r>
      <w:proofErr w:type="gramEnd"/>
      <w:r>
        <w:rPr>
          <w:rFonts w:ascii="Garamond" w:hAnsi="Garamond" w:cs="Garamond"/>
          <w:szCs w:val="27"/>
        </w:rPr>
        <w:t xml:space="preserve"> Goiás, esquina com a rua Quintino </w:t>
      </w:r>
      <w:r w:rsidRPr="003D2293">
        <w:rPr>
          <w:rFonts w:ascii="Garamond" w:hAnsi="Garamond" w:cs="Garamond"/>
          <w:szCs w:val="27"/>
        </w:rPr>
        <w:t>Vargas</w:t>
      </w:r>
      <w:r w:rsidR="003D2293" w:rsidRPr="003D2293">
        <w:rPr>
          <w:rFonts w:ascii="Garamond" w:hAnsi="Garamond" w:cs="Garamond"/>
          <w:bCs/>
          <w:szCs w:val="27"/>
        </w:rPr>
        <w:t xml:space="preserve"> e foi instaurado Inquérito Civil.</w:t>
      </w:r>
    </w:p>
    <w:p w:rsidR="00C6698F" w:rsidRDefault="00C6698F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b/>
          <w:bCs/>
          <w:szCs w:val="27"/>
        </w:rPr>
      </w:pPr>
    </w:p>
    <w:p w:rsidR="00C6698F" w:rsidRDefault="00C6698F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bCs/>
          <w:szCs w:val="27"/>
        </w:rPr>
      </w:pPr>
      <w:r w:rsidRPr="00C6698F">
        <w:rPr>
          <w:rFonts w:ascii="Garamond" w:hAnsi="Garamond" w:cs="Garamond"/>
          <w:bCs/>
          <w:szCs w:val="27"/>
        </w:rPr>
        <w:t xml:space="preserve">Em oficio encaminhado pelo Proprietário do imóvel à </w:t>
      </w:r>
      <w:r>
        <w:rPr>
          <w:rFonts w:ascii="Garamond" w:hAnsi="Garamond" w:cs="Garamond"/>
          <w:bCs/>
          <w:szCs w:val="27"/>
        </w:rPr>
        <w:t>P</w:t>
      </w:r>
      <w:r w:rsidRPr="00C6698F">
        <w:rPr>
          <w:rFonts w:ascii="Garamond" w:hAnsi="Garamond" w:cs="Garamond"/>
          <w:bCs/>
          <w:szCs w:val="27"/>
        </w:rPr>
        <w:t xml:space="preserve">romotoria, </w:t>
      </w:r>
      <w:proofErr w:type="gramStart"/>
      <w:r>
        <w:rPr>
          <w:rFonts w:ascii="Garamond" w:hAnsi="Garamond" w:cs="Garamond"/>
          <w:bCs/>
          <w:szCs w:val="27"/>
        </w:rPr>
        <w:t>é</w:t>
      </w:r>
      <w:proofErr w:type="gramEnd"/>
      <w:r>
        <w:rPr>
          <w:rFonts w:ascii="Garamond" w:hAnsi="Garamond" w:cs="Garamond"/>
          <w:bCs/>
          <w:szCs w:val="27"/>
        </w:rPr>
        <w:t xml:space="preserve"> informado que </w:t>
      </w:r>
      <w:r w:rsidR="002879DF">
        <w:rPr>
          <w:rFonts w:ascii="Garamond" w:hAnsi="Garamond" w:cs="Garamond"/>
          <w:bCs/>
          <w:szCs w:val="27"/>
        </w:rPr>
        <w:t xml:space="preserve">ao adquirir o imóvel no ano de 1986, existiam no terreno duas edificações: uma residencial com frente para a rua Goiás nº 474, imóvel com características antigas e aproximadamente 150 m²; e outro imóvel comercial com frente para a rua Goiás nº 460, sem características que o incluíssem no acervo cultural do município. Passou a residir no imóvel residencial, após a realização de uma reforma, quando em 1991 houve arruinamento de parte da cobertura, sendo necessária a realização de outra reforma na edificação. Em 1997, devido </w:t>
      </w:r>
      <w:proofErr w:type="gramStart"/>
      <w:r w:rsidR="002879DF">
        <w:rPr>
          <w:rFonts w:ascii="Garamond" w:hAnsi="Garamond" w:cs="Garamond"/>
          <w:bCs/>
          <w:szCs w:val="27"/>
        </w:rPr>
        <w:t>a</w:t>
      </w:r>
      <w:proofErr w:type="gramEnd"/>
      <w:r w:rsidR="002879DF">
        <w:rPr>
          <w:rFonts w:ascii="Garamond" w:hAnsi="Garamond" w:cs="Garamond"/>
          <w:bCs/>
          <w:szCs w:val="27"/>
        </w:rPr>
        <w:t xml:space="preserve"> ocorrência de novos problemas na cobertura, a família deixou o prédio, passando a residir em outro local. Os danos na cobertura favoreceram o acesso de umidade ao interior do prédio, causando novos danos e agravando os existentes. Alegou que não possuía condições financeiras para restaurar o prédio e que procurou o Poder Público Municipal, que recomendou que o imóvel fosse escorado. Em 1999 recebeu alerta da Policia Militar, após um registo de boletim de ocorrência devido à queda de uma telha da edificação sobre um veiculo, dos riscos que o imóvel oferecia à população. O imóvel veio a desmoronar e o proprietário removeu os escombros do local. Quanto ao imóvel de nº 460, este foi realmente demolido após certificar-se que não se tratava de imóvel de características históricas.</w:t>
      </w:r>
    </w:p>
    <w:p w:rsidR="003D2293" w:rsidRDefault="003D2293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bCs/>
          <w:szCs w:val="27"/>
        </w:rPr>
      </w:pPr>
    </w:p>
    <w:p w:rsidR="003D2293" w:rsidRDefault="003D2293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bCs/>
          <w:szCs w:val="27"/>
        </w:rPr>
      </w:pPr>
      <w:r>
        <w:rPr>
          <w:rFonts w:ascii="Garamond" w:hAnsi="Garamond" w:cs="Garamond"/>
          <w:bCs/>
          <w:szCs w:val="27"/>
        </w:rPr>
        <w:t>Em 31/05/2010 os autos foram encaminhados a esta Promotoria para cálculo da valoração monetária de danos ao Patrimônio</w:t>
      </w:r>
      <w:r w:rsidR="00867E89">
        <w:rPr>
          <w:rFonts w:ascii="Garamond" w:hAnsi="Garamond" w:cs="Garamond"/>
          <w:bCs/>
          <w:szCs w:val="27"/>
        </w:rPr>
        <w:t xml:space="preserve"> Cultural.</w:t>
      </w:r>
    </w:p>
    <w:p w:rsidR="00867E89" w:rsidRDefault="00867E89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bCs/>
          <w:szCs w:val="27"/>
        </w:rPr>
      </w:pPr>
    </w:p>
    <w:p w:rsidR="00867E89" w:rsidRDefault="00867E89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bCs/>
          <w:szCs w:val="27"/>
        </w:rPr>
      </w:pPr>
      <w:r>
        <w:rPr>
          <w:rFonts w:ascii="Garamond" w:hAnsi="Garamond" w:cs="Garamond"/>
          <w:bCs/>
          <w:szCs w:val="27"/>
        </w:rPr>
        <w:t xml:space="preserve">Em 30/08/2010 foi elaborada a Nota Técnica nº 33/2010 com o cálculo da valoração monetária de danos ao patrimônio cultural, </w:t>
      </w:r>
      <w:proofErr w:type="gramStart"/>
      <w:r>
        <w:rPr>
          <w:rFonts w:ascii="Garamond" w:hAnsi="Garamond" w:cs="Garamond"/>
          <w:bCs/>
          <w:szCs w:val="27"/>
        </w:rPr>
        <w:t>onde</w:t>
      </w:r>
      <w:proofErr w:type="gramEnd"/>
      <w:r>
        <w:rPr>
          <w:rFonts w:ascii="Garamond" w:hAnsi="Garamond" w:cs="Garamond"/>
          <w:bCs/>
          <w:szCs w:val="27"/>
        </w:rPr>
        <w:t xml:space="preserve"> chegou-se ao valor de R$527.204,58 (quinhentos e vinte e sete mil duzentos e quatro reais e cinquenta e oito centavos), que foi encaminhada à Promotoria local em 31/08/2010.</w:t>
      </w:r>
    </w:p>
    <w:p w:rsidR="00867E89" w:rsidRDefault="00867E89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bCs/>
          <w:szCs w:val="27"/>
        </w:rPr>
      </w:pPr>
    </w:p>
    <w:p w:rsidR="00867E89" w:rsidRPr="00C6698F" w:rsidRDefault="00867E89" w:rsidP="00884524">
      <w:pPr>
        <w:pStyle w:val="Standard"/>
        <w:spacing w:line="276" w:lineRule="auto"/>
        <w:ind w:firstLine="360"/>
        <w:jc w:val="both"/>
        <w:rPr>
          <w:rFonts w:ascii="Garamond" w:hAnsi="Garamond" w:cs="Garamond"/>
          <w:bCs/>
          <w:szCs w:val="27"/>
        </w:rPr>
      </w:pPr>
      <w:r>
        <w:rPr>
          <w:rFonts w:ascii="Garamond" w:hAnsi="Garamond" w:cs="Garamond"/>
          <w:bCs/>
          <w:szCs w:val="27"/>
        </w:rPr>
        <w:lastRenderedPageBreak/>
        <w:t>Em 21/11/2017 a Promotoria local solicitou nova realização de vistoria no imóvel pelo COMPHAP, que somente foi recebida em 16/04/2015.</w:t>
      </w:r>
      <w:r w:rsidR="00EA2BC2">
        <w:rPr>
          <w:rFonts w:ascii="Garamond" w:hAnsi="Garamond" w:cs="Garamond"/>
          <w:bCs/>
          <w:szCs w:val="27"/>
        </w:rPr>
        <w:t xml:space="preserve"> </w:t>
      </w:r>
    </w:p>
    <w:p w:rsidR="00C6698F" w:rsidRDefault="00C6698F" w:rsidP="00884524">
      <w:pPr>
        <w:pStyle w:val="Standard"/>
        <w:spacing w:line="276" w:lineRule="auto"/>
        <w:ind w:firstLine="360"/>
        <w:jc w:val="both"/>
      </w:pPr>
    </w:p>
    <w:p w:rsidR="001010A4" w:rsidRDefault="009F3A06" w:rsidP="00884524">
      <w:pPr>
        <w:pStyle w:val="Standard"/>
        <w:numPr>
          <w:ilvl w:val="0"/>
          <w:numId w:val="18"/>
        </w:numPr>
        <w:spacing w:line="276" w:lineRule="auto"/>
        <w:ind w:left="0"/>
        <w:jc w:val="both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>Análise Técnica:</w:t>
      </w:r>
    </w:p>
    <w:p w:rsidR="001010A4" w:rsidRDefault="001010A4" w:rsidP="00884524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b/>
          <w:bCs/>
          <w:szCs w:val="27"/>
        </w:rPr>
      </w:pPr>
    </w:p>
    <w:p w:rsidR="00756611" w:rsidRDefault="00756611" w:rsidP="00884524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Garamond" w:eastAsia="Times New Roman" w:hAnsi="Garamond" w:cs="Times New Roman"/>
          <w:kern w:val="0"/>
          <w:lang w:eastAsia="pt-BR" w:bidi="ar-SA"/>
        </w:rPr>
      </w:pPr>
      <w:r>
        <w:rPr>
          <w:rFonts w:ascii="Garamond" w:eastAsia="Times New Roman" w:hAnsi="Garamond" w:cs="Times New Roman"/>
          <w:kern w:val="0"/>
          <w:lang w:eastAsia="pt-BR" w:bidi="ar-SA"/>
        </w:rPr>
        <w:t>Conforme descrito acima, o que se verifica é que desde o ano de 1999 o imóvel e</w:t>
      </w:r>
      <w:r>
        <w:rPr>
          <w:rFonts w:ascii="Garamond" w:eastAsia="Times New Roman" w:hAnsi="Garamond" w:cs="Times New Roman"/>
          <w:kern w:val="0"/>
          <w:lang w:eastAsia="pt-BR" w:bidi="ar-SA"/>
        </w:rPr>
        <w:t>n</w:t>
      </w:r>
      <w:r>
        <w:rPr>
          <w:rFonts w:ascii="Garamond" w:eastAsia="Times New Roman" w:hAnsi="Garamond" w:cs="Times New Roman"/>
          <w:kern w:val="0"/>
          <w:lang w:eastAsia="pt-BR" w:bidi="ar-SA"/>
        </w:rPr>
        <w:t>contrava-se em mau estado de conservação, o que era de conhecimento do então propriet</w:t>
      </w:r>
      <w:r>
        <w:rPr>
          <w:rFonts w:ascii="Garamond" w:eastAsia="Times New Roman" w:hAnsi="Garamond" w:cs="Times New Roman"/>
          <w:kern w:val="0"/>
          <w:lang w:eastAsia="pt-BR" w:bidi="ar-SA"/>
        </w:rPr>
        <w:t>á</w:t>
      </w:r>
      <w:r>
        <w:rPr>
          <w:rFonts w:ascii="Garamond" w:eastAsia="Times New Roman" w:hAnsi="Garamond" w:cs="Times New Roman"/>
          <w:kern w:val="0"/>
          <w:lang w:eastAsia="pt-BR" w:bidi="ar-SA"/>
        </w:rPr>
        <w:t xml:space="preserve">rio e do Poder Público Municipal. </w:t>
      </w:r>
    </w:p>
    <w:p w:rsidR="00884524" w:rsidRDefault="00884524" w:rsidP="00884524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Garamond" w:eastAsia="Times New Roman" w:hAnsi="Garamond" w:cs="Times New Roman"/>
          <w:kern w:val="0"/>
          <w:lang w:eastAsia="pt-BR" w:bidi="ar-SA"/>
        </w:rPr>
      </w:pPr>
    </w:p>
    <w:p w:rsidR="00756611" w:rsidRDefault="00756611" w:rsidP="00884524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Garamond" w:eastAsia="Times New Roman" w:hAnsi="Garamond" w:cs="Times New Roman"/>
          <w:kern w:val="0"/>
          <w:lang w:eastAsia="pt-BR" w:bidi="ar-SA"/>
        </w:rPr>
      </w:pPr>
      <w:r>
        <w:rPr>
          <w:rFonts w:ascii="Garamond" w:eastAsia="Times New Roman" w:hAnsi="Garamond" w:cs="Times New Roman"/>
          <w:kern w:val="0"/>
          <w:lang w:eastAsia="pt-BR" w:bidi="ar-SA"/>
        </w:rPr>
        <w:t xml:space="preserve">À época, o imóvel compunha o Núcleo Histórico de Paracatu, </w:t>
      </w:r>
      <w:r w:rsidRPr="00E24228">
        <w:rPr>
          <w:rFonts w:ascii="Garamond" w:eastAsia="Times New Roman" w:hAnsi="Garamond" w:cs="Times New Roman"/>
          <w:kern w:val="0"/>
          <w:lang w:eastAsia="pt-BR" w:bidi="ar-SA"/>
        </w:rPr>
        <w:t>protegido pela Lei Municipal n° 1.517, de 28/08/1987</w:t>
      </w:r>
      <w:r>
        <w:rPr>
          <w:rFonts w:ascii="Garamond" w:eastAsia="Times New Roman" w:hAnsi="Garamond" w:cs="Times New Roman"/>
          <w:kern w:val="0"/>
          <w:lang w:eastAsia="pt-BR" w:bidi="ar-SA"/>
        </w:rPr>
        <w:t xml:space="preserve"> e era protegido através do Decreto Municipal nº 2465/98, onde a edificação foi classificada como edificação tradicional comum. </w:t>
      </w:r>
    </w:p>
    <w:p w:rsidR="00756611" w:rsidRDefault="00756611" w:rsidP="00884524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Garamond" w:eastAsia="Times New Roman" w:hAnsi="Garamond" w:cs="Times New Roman"/>
          <w:kern w:val="0"/>
          <w:lang w:eastAsia="pt-BR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756611" w:rsidTr="00756611">
        <w:tc>
          <w:tcPr>
            <w:tcW w:w="8644" w:type="dxa"/>
          </w:tcPr>
          <w:p w:rsidR="00756611" w:rsidRDefault="00756611" w:rsidP="00884524">
            <w:pPr>
              <w:widowControl/>
              <w:suppressAutoHyphens w:val="0"/>
              <w:autoSpaceDN/>
              <w:spacing w:line="276" w:lineRule="auto"/>
              <w:jc w:val="both"/>
              <w:textAlignment w:val="auto"/>
              <w:rPr>
                <w:rFonts w:ascii="Garamond" w:eastAsia="Times New Roman" w:hAnsi="Garamond" w:cs="Times New Roman"/>
                <w:kern w:val="0"/>
                <w:lang w:eastAsia="pt-BR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5C346121" wp14:editId="607F2779">
                  <wp:extent cx="5410200" cy="3530867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8005" t="16919" r="33586" b="26888"/>
                          <a:stretch/>
                        </pic:blipFill>
                        <pic:spPr bwMode="auto">
                          <a:xfrm>
                            <a:off x="0" y="0"/>
                            <a:ext cx="5414559" cy="353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611" w:rsidRPr="00884524" w:rsidTr="00756611">
        <w:tc>
          <w:tcPr>
            <w:tcW w:w="8644" w:type="dxa"/>
          </w:tcPr>
          <w:p w:rsidR="00756611" w:rsidRPr="00884524" w:rsidRDefault="00756611" w:rsidP="00884524">
            <w:pPr>
              <w:widowControl/>
              <w:suppressAutoHyphens w:val="0"/>
              <w:autoSpaceDN/>
              <w:spacing w:line="276" w:lineRule="auto"/>
              <w:jc w:val="both"/>
              <w:textAlignment w:val="auto"/>
              <w:rPr>
                <w:rFonts w:ascii="Garamond" w:eastAsia="Times New Roman" w:hAnsi="Garamond" w:cs="Times New Roman"/>
                <w:kern w:val="0"/>
                <w:sz w:val="22"/>
                <w:szCs w:val="22"/>
                <w:lang w:eastAsia="pt-BR" w:bidi="ar-SA"/>
              </w:rPr>
            </w:pPr>
            <w:r w:rsidRPr="00884524">
              <w:rPr>
                <w:rFonts w:ascii="Garamond" w:eastAsia="Times New Roman" w:hAnsi="Garamond" w:cs="Times New Roman"/>
                <w:kern w:val="0"/>
                <w:sz w:val="22"/>
                <w:szCs w:val="22"/>
                <w:lang w:eastAsia="pt-BR" w:bidi="ar-SA"/>
              </w:rPr>
              <w:t>Figura 01 – Imagem da edificação conforme ca</w:t>
            </w:r>
            <w:r w:rsidR="00884524" w:rsidRPr="00884524">
              <w:rPr>
                <w:rFonts w:ascii="Garamond" w:eastAsia="Times New Roman" w:hAnsi="Garamond" w:cs="Times New Roman"/>
                <w:kern w:val="0"/>
                <w:sz w:val="22"/>
                <w:szCs w:val="22"/>
                <w:lang w:eastAsia="pt-BR" w:bidi="ar-SA"/>
              </w:rPr>
              <w:t>dastro de bens tombados do município, datado de 1998.</w:t>
            </w:r>
          </w:p>
        </w:tc>
      </w:tr>
    </w:tbl>
    <w:p w:rsidR="00884524" w:rsidRDefault="00884524" w:rsidP="00884524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Garamond" w:eastAsia="Times New Roman" w:hAnsi="Garamond" w:cs="Times New Roman"/>
          <w:kern w:val="0"/>
          <w:lang w:eastAsia="pt-BR" w:bidi="ar-SA"/>
        </w:rPr>
      </w:pPr>
    </w:p>
    <w:p w:rsidR="003D2293" w:rsidRDefault="00756611" w:rsidP="00884524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Garamond" w:eastAsia="Times New Roman" w:hAnsi="Garamond" w:cs="Times New Roman"/>
          <w:kern w:val="0"/>
          <w:lang w:eastAsia="pt-BR" w:bidi="ar-SA"/>
        </w:rPr>
      </w:pPr>
      <w:r>
        <w:rPr>
          <w:rFonts w:ascii="Garamond" w:eastAsia="Times New Roman" w:hAnsi="Garamond" w:cs="Times New Roman"/>
          <w:kern w:val="0"/>
          <w:lang w:eastAsia="pt-BR" w:bidi="ar-SA"/>
        </w:rPr>
        <w:t xml:space="preserve"> Tendo em vista que não foram adotadas medidas efetivas para</w:t>
      </w:r>
      <w:r w:rsidR="00884524">
        <w:rPr>
          <w:rFonts w:ascii="Garamond" w:eastAsia="Times New Roman" w:hAnsi="Garamond" w:cs="Times New Roman"/>
          <w:kern w:val="0"/>
          <w:lang w:eastAsia="pt-BR" w:bidi="ar-SA"/>
        </w:rPr>
        <w:t xml:space="preserve"> preservação do imóvel, nem pelo proprietário nem pelo Poder Público municipal, o imóvel ruiu</w:t>
      </w:r>
      <w:r w:rsidR="00884524">
        <w:rPr>
          <w:rStyle w:val="Refdenotaderodap"/>
          <w:rFonts w:ascii="Garamond" w:eastAsia="Times New Roman" w:hAnsi="Garamond" w:cs="Times New Roman"/>
          <w:kern w:val="0"/>
          <w:lang w:eastAsia="pt-BR" w:bidi="ar-SA"/>
        </w:rPr>
        <w:footnoteReference w:id="1"/>
      </w:r>
      <w:r>
        <w:rPr>
          <w:rFonts w:ascii="Garamond" w:eastAsia="Times New Roman" w:hAnsi="Garamond" w:cs="Times New Roman"/>
          <w:kern w:val="0"/>
          <w:lang w:eastAsia="pt-BR" w:bidi="ar-SA"/>
        </w:rPr>
        <w:t xml:space="preserve"> </w:t>
      </w:r>
      <w:r w:rsidR="00884524">
        <w:rPr>
          <w:rFonts w:ascii="Garamond" w:eastAsia="Times New Roman" w:hAnsi="Garamond" w:cs="Times New Roman"/>
          <w:kern w:val="0"/>
          <w:lang w:eastAsia="pt-BR" w:bidi="ar-SA"/>
        </w:rPr>
        <w:t>e o mat</w:t>
      </w:r>
      <w:r w:rsidR="00884524">
        <w:rPr>
          <w:rFonts w:ascii="Garamond" w:eastAsia="Times New Roman" w:hAnsi="Garamond" w:cs="Times New Roman"/>
          <w:kern w:val="0"/>
          <w:lang w:eastAsia="pt-BR" w:bidi="ar-SA"/>
        </w:rPr>
        <w:t>e</w:t>
      </w:r>
      <w:r w:rsidR="00884524">
        <w:rPr>
          <w:rFonts w:ascii="Garamond" w:eastAsia="Times New Roman" w:hAnsi="Garamond" w:cs="Times New Roman"/>
          <w:kern w:val="0"/>
          <w:lang w:eastAsia="pt-BR" w:bidi="ar-SA"/>
        </w:rPr>
        <w:t xml:space="preserve">rial resultante do arruinamento foi removido pelo proprietário do imóvel. </w:t>
      </w:r>
    </w:p>
    <w:p w:rsidR="003D2293" w:rsidRDefault="003D2293" w:rsidP="00884524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Garamond" w:eastAsia="Times New Roman" w:hAnsi="Garamond" w:cs="Times New Roman"/>
          <w:kern w:val="0"/>
          <w:lang w:eastAsia="pt-BR" w:bidi="ar-SA"/>
        </w:rPr>
      </w:pPr>
    </w:p>
    <w:p w:rsidR="007F64E1" w:rsidRDefault="009F3A06" w:rsidP="00884524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</w:rPr>
        <w:t>Na data da vistoria, realizada pelo setor técnico desta Coordenadoria</w:t>
      </w:r>
      <w:r w:rsidR="00E24228">
        <w:rPr>
          <w:rFonts w:ascii="Garamond" w:hAnsi="Garamond" w:cs="Garamond"/>
          <w:szCs w:val="27"/>
        </w:rPr>
        <w:t xml:space="preserve">, verificou-se que </w:t>
      </w:r>
      <w:r w:rsidR="004A045E">
        <w:rPr>
          <w:rFonts w:ascii="Garamond" w:hAnsi="Garamond" w:cs="Garamond"/>
          <w:szCs w:val="27"/>
        </w:rPr>
        <w:t xml:space="preserve">o </w:t>
      </w:r>
      <w:r w:rsidR="00884524">
        <w:rPr>
          <w:rFonts w:ascii="Garamond" w:hAnsi="Garamond" w:cs="Garamond"/>
          <w:szCs w:val="27"/>
        </w:rPr>
        <w:t>terreno onde se implantava</w:t>
      </w:r>
      <w:r w:rsidR="00B163AA">
        <w:rPr>
          <w:rFonts w:ascii="Garamond" w:hAnsi="Garamond" w:cs="Garamond"/>
          <w:szCs w:val="27"/>
        </w:rPr>
        <w:t xml:space="preserve"> o imóvel está vago, cercado p</w:t>
      </w:r>
      <w:r w:rsidR="00BC2450">
        <w:rPr>
          <w:rFonts w:ascii="Garamond" w:hAnsi="Garamond" w:cs="Garamond"/>
          <w:szCs w:val="27"/>
        </w:rPr>
        <w:t xml:space="preserve">recariamente por gradil e muro </w:t>
      </w:r>
      <w:r w:rsidR="00B163AA">
        <w:rPr>
          <w:rFonts w:ascii="Garamond" w:hAnsi="Garamond" w:cs="Garamond"/>
          <w:szCs w:val="27"/>
        </w:rPr>
        <w:t xml:space="preserve">onde há pintura contendo propaganda de estabelecimento comercial. No local estão </w:t>
      </w:r>
      <w:r w:rsidR="00B163AA">
        <w:rPr>
          <w:rFonts w:ascii="Garamond" w:hAnsi="Garamond" w:cs="Garamond"/>
          <w:szCs w:val="27"/>
        </w:rPr>
        <w:lastRenderedPageBreak/>
        <w:t>instalados outdoors de grandes dimensões, que comprometem a ambiência do núcleo histórico protegido.</w:t>
      </w:r>
      <w:r w:rsidR="00884524">
        <w:rPr>
          <w:rFonts w:ascii="Garamond" w:hAnsi="Garamond" w:cs="Garamond"/>
          <w:szCs w:val="27"/>
        </w:rPr>
        <w:t xml:space="preserve"> </w:t>
      </w:r>
    </w:p>
    <w:p w:rsidR="00B163AA" w:rsidRDefault="00B163AA" w:rsidP="00884524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163AA" w:rsidTr="00B163AA">
        <w:tc>
          <w:tcPr>
            <w:tcW w:w="8644" w:type="dxa"/>
          </w:tcPr>
          <w:p w:rsidR="00B163AA" w:rsidRDefault="00B163AA" w:rsidP="00884524">
            <w:pPr>
              <w:pStyle w:val="PargrafodaLista"/>
              <w:spacing w:line="276" w:lineRule="auto"/>
              <w:ind w:left="0"/>
              <w:jc w:val="both"/>
              <w:rPr>
                <w:rFonts w:ascii="Garamond" w:hAnsi="Garamond" w:cs="Garamond"/>
                <w:szCs w:val="27"/>
              </w:rPr>
            </w:pPr>
            <w:r>
              <w:rPr>
                <w:rFonts w:ascii="Garamond" w:hAnsi="Garamond" w:cs="Garamond"/>
                <w:noProof/>
                <w:szCs w:val="27"/>
                <w:lang w:eastAsia="pt-BR"/>
              </w:rPr>
              <w:drawing>
                <wp:inline distT="0" distB="0" distL="0" distR="0">
                  <wp:extent cx="5400040" cy="4050030"/>
                  <wp:effectExtent l="0" t="0" r="0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toria 1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05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3AA" w:rsidRPr="00EA2BC2" w:rsidTr="00B163AA">
        <w:tc>
          <w:tcPr>
            <w:tcW w:w="8644" w:type="dxa"/>
          </w:tcPr>
          <w:p w:rsidR="00B163AA" w:rsidRPr="00EA2BC2" w:rsidRDefault="00B163AA" w:rsidP="00884524">
            <w:pPr>
              <w:pStyle w:val="PargrafodaLista"/>
              <w:spacing w:line="276" w:lineRule="auto"/>
              <w:ind w:left="0"/>
              <w:jc w:val="both"/>
              <w:rPr>
                <w:rFonts w:ascii="Garamond" w:hAnsi="Garamond" w:cs="Garamond"/>
                <w:sz w:val="22"/>
                <w:szCs w:val="22"/>
              </w:rPr>
            </w:pPr>
            <w:r w:rsidRPr="00EA2BC2">
              <w:rPr>
                <w:rFonts w:ascii="Garamond" w:hAnsi="Garamond" w:cs="Garamond"/>
                <w:sz w:val="22"/>
                <w:szCs w:val="22"/>
              </w:rPr>
              <w:t>Figura 02 – Imagem atual do terreno.</w:t>
            </w:r>
          </w:p>
        </w:tc>
      </w:tr>
    </w:tbl>
    <w:p w:rsidR="00B163AA" w:rsidRDefault="00B163AA" w:rsidP="00884524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BC2450" w:rsidRPr="007F64E1" w:rsidRDefault="00BC2450" w:rsidP="00BC2450">
      <w:pPr>
        <w:pStyle w:val="Standard"/>
        <w:numPr>
          <w:ilvl w:val="0"/>
          <w:numId w:val="18"/>
        </w:numPr>
        <w:spacing w:line="276" w:lineRule="auto"/>
        <w:jc w:val="both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>Conclusões:</w:t>
      </w:r>
    </w:p>
    <w:p w:rsidR="00BC2450" w:rsidRDefault="00BC2450" w:rsidP="00884524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884524" w:rsidRDefault="00884524" w:rsidP="00884524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>Tendo em vista que</w:t>
      </w:r>
      <w:r w:rsidR="00AF3116">
        <w:rPr>
          <w:rFonts w:ascii="Garamond" w:hAnsi="Garamond" w:cs="Garamond"/>
          <w:szCs w:val="27"/>
        </w:rPr>
        <w:t>,</w:t>
      </w:r>
      <w:r>
        <w:rPr>
          <w:rFonts w:ascii="Garamond" w:hAnsi="Garamond" w:cs="Garamond"/>
          <w:szCs w:val="27"/>
        </w:rPr>
        <w:t xml:space="preserve"> </w:t>
      </w:r>
      <w:r w:rsidR="00B163AA">
        <w:rPr>
          <w:rFonts w:ascii="Garamond" w:hAnsi="Garamond" w:cs="Garamond"/>
          <w:szCs w:val="27"/>
        </w:rPr>
        <w:t>após o cálculo de valoração de danos ao Patrimônio Cultural por este Setor Técnico</w:t>
      </w:r>
      <w:r w:rsidR="00AF3116">
        <w:rPr>
          <w:rFonts w:ascii="Garamond" w:hAnsi="Garamond" w:cs="Garamond"/>
          <w:szCs w:val="27"/>
        </w:rPr>
        <w:t>,</w:t>
      </w:r>
      <w:r w:rsidR="00B163AA">
        <w:rPr>
          <w:rFonts w:ascii="Garamond" w:hAnsi="Garamond" w:cs="Garamond"/>
          <w:szCs w:val="27"/>
        </w:rPr>
        <w:t xml:space="preserve"> </w:t>
      </w:r>
      <w:r>
        <w:rPr>
          <w:rFonts w:ascii="Garamond" w:hAnsi="Garamond" w:cs="Garamond"/>
          <w:szCs w:val="27"/>
        </w:rPr>
        <w:t xml:space="preserve">não foram adotadas </w:t>
      </w:r>
      <w:r w:rsidR="00B163AA">
        <w:rPr>
          <w:rFonts w:ascii="Garamond" w:hAnsi="Garamond" w:cs="Garamond"/>
          <w:szCs w:val="27"/>
        </w:rPr>
        <w:t xml:space="preserve">as </w:t>
      </w:r>
      <w:r>
        <w:rPr>
          <w:rFonts w:ascii="Garamond" w:hAnsi="Garamond" w:cs="Garamond"/>
          <w:szCs w:val="27"/>
        </w:rPr>
        <w:t xml:space="preserve">medidas </w:t>
      </w:r>
      <w:r w:rsidR="00B163AA">
        <w:rPr>
          <w:rFonts w:ascii="Garamond" w:hAnsi="Garamond" w:cs="Garamond"/>
          <w:szCs w:val="27"/>
        </w:rPr>
        <w:t xml:space="preserve">necessárias </w:t>
      </w:r>
      <w:r>
        <w:rPr>
          <w:rFonts w:ascii="Garamond" w:hAnsi="Garamond" w:cs="Garamond"/>
          <w:szCs w:val="27"/>
        </w:rPr>
        <w:t>de</w:t>
      </w:r>
      <w:r w:rsidR="00B163AA">
        <w:rPr>
          <w:rFonts w:ascii="Garamond" w:hAnsi="Garamond" w:cs="Garamond"/>
          <w:szCs w:val="27"/>
        </w:rPr>
        <w:t xml:space="preserve"> reparação / compensação de danos</w:t>
      </w:r>
      <w:r w:rsidR="00BC2450">
        <w:rPr>
          <w:rFonts w:ascii="Garamond" w:hAnsi="Garamond" w:cs="Garamond"/>
          <w:szCs w:val="27"/>
        </w:rPr>
        <w:t xml:space="preserve"> e, decorridos </w:t>
      </w:r>
      <w:proofErr w:type="gramStart"/>
      <w:r w:rsidR="00BC2450">
        <w:rPr>
          <w:rFonts w:ascii="Garamond" w:hAnsi="Garamond" w:cs="Garamond"/>
          <w:szCs w:val="27"/>
        </w:rPr>
        <w:t>7</w:t>
      </w:r>
      <w:proofErr w:type="gramEnd"/>
      <w:r w:rsidR="00BC2450">
        <w:rPr>
          <w:rFonts w:ascii="Garamond" w:hAnsi="Garamond" w:cs="Garamond"/>
          <w:szCs w:val="27"/>
        </w:rPr>
        <w:t xml:space="preserve"> </w:t>
      </w:r>
      <w:r w:rsidR="00EA2BC2">
        <w:rPr>
          <w:rFonts w:ascii="Garamond" w:hAnsi="Garamond" w:cs="Garamond"/>
          <w:szCs w:val="27"/>
        </w:rPr>
        <w:t xml:space="preserve">(sete) </w:t>
      </w:r>
      <w:r w:rsidR="00BC2450">
        <w:rPr>
          <w:rFonts w:ascii="Garamond" w:hAnsi="Garamond" w:cs="Garamond"/>
          <w:szCs w:val="27"/>
        </w:rPr>
        <w:t>anos após a elaboração da Nota Técnica, estando o valor defasado, foi feit</w:t>
      </w:r>
      <w:r w:rsidR="00EA2BC2">
        <w:rPr>
          <w:rFonts w:ascii="Garamond" w:hAnsi="Garamond" w:cs="Garamond"/>
          <w:szCs w:val="27"/>
        </w:rPr>
        <w:t>o novo cálculo, s</w:t>
      </w:r>
      <w:r w:rsidR="00AF3116">
        <w:rPr>
          <w:rFonts w:ascii="Garamond" w:hAnsi="Garamond" w:cs="Garamond"/>
          <w:szCs w:val="27"/>
        </w:rPr>
        <w:t>eguindo a mesma metodologia poré</w:t>
      </w:r>
      <w:r w:rsidR="00EA2BC2">
        <w:rPr>
          <w:rFonts w:ascii="Garamond" w:hAnsi="Garamond" w:cs="Garamond"/>
          <w:szCs w:val="27"/>
        </w:rPr>
        <w:t>m com os valores atualizados, conforme Anexo 1</w:t>
      </w:r>
      <w:r w:rsidR="00BC2450">
        <w:rPr>
          <w:rFonts w:ascii="Garamond" w:hAnsi="Garamond" w:cs="Garamond"/>
          <w:szCs w:val="27"/>
        </w:rPr>
        <w:t xml:space="preserve"> deste documento. </w:t>
      </w:r>
      <w:r>
        <w:rPr>
          <w:rFonts w:ascii="Garamond" w:hAnsi="Garamond" w:cs="Garamond"/>
          <w:szCs w:val="27"/>
        </w:rPr>
        <w:t xml:space="preserve"> </w:t>
      </w:r>
    </w:p>
    <w:p w:rsidR="00BC2450" w:rsidRDefault="00BC2450" w:rsidP="00884524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BC2450" w:rsidRDefault="00BC2450" w:rsidP="00884524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>Para o lote resultante da demolição recomenda-se:</w:t>
      </w:r>
    </w:p>
    <w:p w:rsidR="00BC2450" w:rsidRDefault="00BC2450" w:rsidP="00530180">
      <w:pPr>
        <w:pStyle w:val="PargrafodaLista"/>
        <w:numPr>
          <w:ilvl w:val="0"/>
          <w:numId w:val="21"/>
        </w:numPr>
        <w:spacing w:line="276" w:lineRule="auto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>Capina e limpeza permanente,</w:t>
      </w:r>
    </w:p>
    <w:p w:rsidR="00BC2450" w:rsidRPr="00530180" w:rsidRDefault="00BC2450" w:rsidP="00530180">
      <w:pPr>
        <w:pStyle w:val="PargrafodaLista"/>
        <w:numPr>
          <w:ilvl w:val="0"/>
          <w:numId w:val="21"/>
        </w:numPr>
        <w:spacing w:line="276" w:lineRule="auto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 xml:space="preserve">Instalação de muro ou gradil que promova segurança ao pedestre e se integre ao </w:t>
      </w:r>
      <w:r w:rsidRPr="00530180">
        <w:rPr>
          <w:rFonts w:ascii="Garamond" w:hAnsi="Garamond" w:cs="Garamond"/>
          <w:szCs w:val="27"/>
        </w:rPr>
        <w:t>núcleo protegido, em modelo a ser aprovado pelo Iphan e pelo Conselho M</w:t>
      </w:r>
      <w:r w:rsidR="00EA2BC2">
        <w:rPr>
          <w:rFonts w:ascii="Garamond" w:hAnsi="Garamond" w:cs="Garamond"/>
          <w:szCs w:val="27"/>
        </w:rPr>
        <w:t>unicipal de Patrimônio Cultural,</w:t>
      </w:r>
    </w:p>
    <w:p w:rsidR="00BC2450" w:rsidRPr="00530180" w:rsidRDefault="00530180" w:rsidP="00530180">
      <w:pPr>
        <w:pStyle w:val="PargrafodaLista"/>
        <w:numPr>
          <w:ilvl w:val="0"/>
          <w:numId w:val="21"/>
        </w:numPr>
        <w:spacing w:line="276" w:lineRule="auto"/>
        <w:jc w:val="both"/>
        <w:rPr>
          <w:rFonts w:ascii="Garamond" w:eastAsia="Times New Roman" w:hAnsi="Garamond"/>
          <w:kern w:val="0"/>
          <w:lang w:eastAsia="pt-BR"/>
        </w:rPr>
      </w:pPr>
      <w:r w:rsidRPr="00530180">
        <w:rPr>
          <w:rFonts w:ascii="Garamond" w:hAnsi="Garamond" w:cs="Garamond"/>
          <w:szCs w:val="27"/>
        </w:rPr>
        <w:t xml:space="preserve">Remoção dos outdoors existentes por não se integrarem </w:t>
      </w:r>
      <w:r w:rsidR="00BC2450" w:rsidRPr="00530180">
        <w:rPr>
          <w:rFonts w:ascii="Garamond" w:eastAsia="Times New Roman" w:hAnsi="Garamond"/>
          <w:kern w:val="0"/>
          <w:lang w:eastAsia="pt-BR"/>
        </w:rPr>
        <w:t>com o ambiente paisagístico ou arquitetônico local</w:t>
      </w:r>
      <w:r w:rsidRPr="00530180">
        <w:rPr>
          <w:rFonts w:ascii="Garamond" w:eastAsia="Times New Roman" w:hAnsi="Garamond"/>
          <w:kern w:val="0"/>
          <w:lang w:eastAsia="pt-BR"/>
        </w:rPr>
        <w:t xml:space="preserve"> e se encontrarem em dimensões superiores às </w:t>
      </w:r>
      <w:r w:rsidR="00EA2BC2">
        <w:rPr>
          <w:rFonts w:ascii="Garamond" w:eastAsia="Times New Roman" w:hAnsi="Garamond"/>
          <w:kern w:val="0"/>
          <w:lang w:eastAsia="pt-BR"/>
        </w:rPr>
        <w:t>permitidas pelo artigo 256, pará</w:t>
      </w:r>
      <w:r w:rsidRPr="00530180">
        <w:rPr>
          <w:rFonts w:ascii="Garamond" w:eastAsia="Times New Roman" w:hAnsi="Garamond"/>
          <w:kern w:val="0"/>
          <w:lang w:eastAsia="pt-BR"/>
        </w:rPr>
        <w:t>grafo segundo do Código de Posturas Municipal, instituído através do Decreto Municipal nº 063/2009.</w:t>
      </w:r>
    </w:p>
    <w:p w:rsidR="00BC2450" w:rsidRDefault="00BC2450" w:rsidP="00884524">
      <w:pPr>
        <w:pStyle w:val="PargrafodaLista"/>
        <w:spacing w:line="276" w:lineRule="auto"/>
        <w:ind w:left="0" w:firstLine="708"/>
        <w:jc w:val="both"/>
        <w:rPr>
          <w:rFonts w:ascii="Garamond" w:eastAsia="MS Mincho" w:hAnsi="Garamond" w:cs="Garamond"/>
        </w:rPr>
      </w:pPr>
    </w:p>
    <w:p w:rsidR="00530180" w:rsidRDefault="00FB1DF8" w:rsidP="00FB1DF8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>
        <w:rPr>
          <w:rFonts w:eastAsia="Times New Roman"/>
          <w:kern w:val="0"/>
          <w:lang w:eastAsia="pt-BR"/>
        </w:rPr>
        <w:t xml:space="preserve"> </w:t>
      </w:r>
      <w:r w:rsidR="00530180" w:rsidRPr="00FB1DF8">
        <w:rPr>
          <w:rFonts w:ascii="Garamond" w:hAnsi="Garamond" w:cs="Garamond"/>
          <w:szCs w:val="27"/>
        </w:rPr>
        <w:t>Eventual nova construção que venha a ser edificada no terreno deverá ter seu projeto previamente apreciado pelo COMPHAP e pelo Iphan e obedecer ao artigo 33 da Lei 1517/85, que define:</w:t>
      </w:r>
    </w:p>
    <w:p w:rsidR="00FB1DF8" w:rsidRPr="00FB1DF8" w:rsidRDefault="00FB1DF8" w:rsidP="00FB1DF8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BC2450" w:rsidRPr="00FB1DF8" w:rsidRDefault="00530180" w:rsidP="00FB1DF8">
      <w:pPr>
        <w:pStyle w:val="PargrafodaLista"/>
        <w:spacing w:line="276" w:lineRule="auto"/>
        <w:ind w:left="2832"/>
        <w:jc w:val="both"/>
        <w:rPr>
          <w:rFonts w:ascii="Garamond" w:hAnsi="Garamond" w:cs="Garamond"/>
          <w:szCs w:val="27"/>
          <w:u w:val="single"/>
        </w:rPr>
      </w:pPr>
      <w:r w:rsidRPr="00FB1DF8">
        <w:rPr>
          <w:rFonts w:ascii="Garamond" w:hAnsi="Garamond" w:cs="Garamond"/>
          <w:szCs w:val="27"/>
        </w:rPr>
        <w:t>Art. 33 - E</w:t>
      </w:r>
      <w:r w:rsidR="00BC2450" w:rsidRPr="00FB1DF8">
        <w:rPr>
          <w:rFonts w:ascii="Garamond" w:hAnsi="Garamond" w:cs="Garamond"/>
          <w:szCs w:val="27"/>
        </w:rPr>
        <w:t xml:space="preserve">m caso de demolição, deterioração, incêndio ou qualquer outro evento que acarrete a perda de edificação histórica, ainda que por motivos fortuitos, e a impossibilidade técnica de sua reconstrução, </w:t>
      </w:r>
      <w:r w:rsidR="00BC2450" w:rsidRPr="00FB1DF8">
        <w:rPr>
          <w:rFonts w:ascii="Garamond" w:hAnsi="Garamond" w:cs="Garamond"/>
          <w:szCs w:val="27"/>
          <w:u w:val="single"/>
        </w:rPr>
        <w:t>nova edificação só será permitida se mantiver, obrigatoriamente, a mesma área e o volume da anterior</w:t>
      </w:r>
      <w:proofErr w:type="gramStart"/>
      <w:r w:rsidR="00BC2450" w:rsidRPr="00FB1DF8">
        <w:rPr>
          <w:rFonts w:ascii="Garamond" w:hAnsi="Garamond" w:cs="Garamond"/>
          <w:szCs w:val="27"/>
          <w:u w:val="single"/>
        </w:rPr>
        <w:t>.</w:t>
      </w:r>
      <w:r w:rsidR="00FB1DF8">
        <w:rPr>
          <w:rFonts w:ascii="Garamond" w:hAnsi="Garamond" w:cs="Garamond"/>
          <w:szCs w:val="27"/>
          <w:u w:val="single"/>
        </w:rPr>
        <w:t>.</w:t>
      </w:r>
      <w:proofErr w:type="gramEnd"/>
    </w:p>
    <w:p w:rsidR="00FB1DF8" w:rsidRPr="00FB1DF8" w:rsidRDefault="00FB1DF8" w:rsidP="00FB1DF8">
      <w:pPr>
        <w:pStyle w:val="PargrafodaLista"/>
        <w:spacing w:line="276" w:lineRule="auto"/>
        <w:ind w:left="2832"/>
        <w:jc w:val="both"/>
        <w:rPr>
          <w:rFonts w:ascii="Garamond" w:hAnsi="Garamond" w:cs="Garamond"/>
          <w:szCs w:val="27"/>
        </w:rPr>
      </w:pPr>
    </w:p>
    <w:p w:rsidR="00530180" w:rsidRPr="00FB1DF8" w:rsidRDefault="00530180" w:rsidP="00FB1DF8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 w:rsidRPr="00FB1DF8">
        <w:rPr>
          <w:rFonts w:ascii="Garamond" w:hAnsi="Garamond" w:cs="Garamond"/>
          <w:szCs w:val="27"/>
        </w:rPr>
        <w:t xml:space="preserve">Entretanto, </w:t>
      </w:r>
      <w:r w:rsidRPr="00EA2BC2">
        <w:rPr>
          <w:rFonts w:ascii="Garamond" w:hAnsi="Garamond" w:cs="Garamond"/>
          <w:szCs w:val="27"/>
          <w:u w:val="single"/>
        </w:rPr>
        <w:t xml:space="preserve">nova construção somente deverá ser autorizada após a </w:t>
      </w:r>
      <w:r w:rsidR="00FB1DF8" w:rsidRPr="00EA2BC2">
        <w:rPr>
          <w:rFonts w:ascii="Garamond" w:hAnsi="Garamond" w:cs="Garamond"/>
          <w:szCs w:val="27"/>
          <w:u w:val="single"/>
        </w:rPr>
        <w:t xml:space="preserve">reparação dos </w:t>
      </w:r>
      <w:r w:rsidRPr="00EA2BC2">
        <w:rPr>
          <w:rFonts w:ascii="Garamond" w:hAnsi="Garamond" w:cs="Garamond"/>
          <w:szCs w:val="27"/>
          <w:u w:val="single"/>
        </w:rPr>
        <w:t>danos causados ao Patrimônio Cultural local pelos responsáveis, co</w:t>
      </w:r>
      <w:r w:rsidR="00FB1DF8" w:rsidRPr="00EA2BC2">
        <w:rPr>
          <w:rFonts w:ascii="Garamond" w:hAnsi="Garamond" w:cs="Garamond"/>
          <w:szCs w:val="27"/>
          <w:u w:val="single"/>
        </w:rPr>
        <w:t xml:space="preserve">nforme anexo </w:t>
      </w:r>
      <w:proofErr w:type="gramStart"/>
      <w:r w:rsidR="00EA2BC2">
        <w:rPr>
          <w:rFonts w:ascii="Garamond" w:hAnsi="Garamond" w:cs="Garamond"/>
          <w:szCs w:val="27"/>
          <w:u w:val="single"/>
        </w:rPr>
        <w:t>1</w:t>
      </w:r>
      <w:proofErr w:type="gramEnd"/>
      <w:r w:rsidR="00FB1DF8" w:rsidRPr="00EA2BC2">
        <w:rPr>
          <w:rFonts w:ascii="Garamond" w:hAnsi="Garamond" w:cs="Garamond"/>
          <w:szCs w:val="27"/>
          <w:u w:val="single"/>
        </w:rPr>
        <w:t xml:space="preserve"> deste documento.</w:t>
      </w:r>
      <w:r w:rsidR="00FB1DF8">
        <w:rPr>
          <w:rFonts w:ascii="Garamond" w:hAnsi="Garamond" w:cs="Garamond"/>
          <w:szCs w:val="27"/>
        </w:rPr>
        <w:t xml:space="preserve"> </w:t>
      </w:r>
      <w:r w:rsidRPr="00FB1DF8">
        <w:rPr>
          <w:rFonts w:ascii="Garamond" w:hAnsi="Garamond" w:cs="Garamond"/>
          <w:szCs w:val="27"/>
        </w:rPr>
        <w:t xml:space="preserve">Não deverá haver prejuízo </w:t>
      </w:r>
      <w:r w:rsidR="00FB1DF8" w:rsidRPr="00FB1DF8">
        <w:rPr>
          <w:rFonts w:ascii="Garamond" w:hAnsi="Garamond" w:cs="Garamond"/>
          <w:szCs w:val="27"/>
        </w:rPr>
        <w:t xml:space="preserve">da responsabilização em âmbito cível, administrativo e criminal </w:t>
      </w:r>
      <w:r w:rsidR="00FB1DF8">
        <w:rPr>
          <w:rFonts w:ascii="Garamond" w:hAnsi="Garamond" w:cs="Garamond"/>
          <w:szCs w:val="27"/>
        </w:rPr>
        <w:t>dos responsáveis pela demolição</w:t>
      </w:r>
      <w:r w:rsidR="00EA2BC2">
        <w:rPr>
          <w:rFonts w:ascii="Garamond" w:hAnsi="Garamond" w:cs="Garamond"/>
          <w:szCs w:val="27"/>
        </w:rPr>
        <w:t xml:space="preserve"> / arruinamento</w:t>
      </w:r>
      <w:r w:rsidR="00FB1DF8" w:rsidRPr="00FB1DF8">
        <w:rPr>
          <w:rFonts w:ascii="Garamond" w:hAnsi="Garamond" w:cs="Garamond"/>
          <w:szCs w:val="27"/>
        </w:rPr>
        <w:t>, tanto a agentes públicos quanto a particulares.</w:t>
      </w:r>
    </w:p>
    <w:p w:rsidR="001010A4" w:rsidRDefault="001010A4" w:rsidP="00884524">
      <w:pPr>
        <w:pStyle w:val="PargrafodaLista"/>
        <w:spacing w:line="276" w:lineRule="auto"/>
        <w:ind w:left="0" w:firstLine="708"/>
        <w:jc w:val="both"/>
        <w:rPr>
          <w:rFonts w:ascii="Garamond" w:eastAsia="MS Mincho" w:hAnsi="Garamond" w:cs="Garamond"/>
        </w:rPr>
      </w:pPr>
    </w:p>
    <w:p w:rsidR="001010A4" w:rsidRDefault="009F3A06" w:rsidP="00FB1DF8">
      <w:pPr>
        <w:pStyle w:val="Standard"/>
        <w:numPr>
          <w:ilvl w:val="0"/>
          <w:numId w:val="18"/>
        </w:numPr>
        <w:spacing w:line="276" w:lineRule="auto"/>
        <w:jc w:val="both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>Encerramento</w:t>
      </w:r>
    </w:p>
    <w:p w:rsidR="001010A4" w:rsidRDefault="001010A4" w:rsidP="00884524">
      <w:pPr>
        <w:pStyle w:val="Standard"/>
        <w:suppressAutoHyphens w:val="0"/>
        <w:spacing w:line="276" w:lineRule="auto"/>
        <w:ind w:firstLine="709"/>
        <w:jc w:val="both"/>
        <w:rPr>
          <w:rFonts w:ascii="Garamond" w:eastAsia="Times New Roman" w:hAnsi="Garamond" w:cs="Garamond"/>
          <w:b/>
          <w:bCs/>
          <w:lang w:eastAsia="pt-BR"/>
        </w:rPr>
      </w:pPr>
    </w:p>
    <w:p w:rsidR="001010A4" w:rsidRDefault="009F3A06" w:rsidP="00884524">
      <w:pPr>
        <w:pStyle w:val="Standard"/>
        <w:suppressAutoHyphens w:val="0"/>
        <w:spacing w:line="276" w:lineRule="auto"/>
        <w:ind w:firstLine="709"/>
        <w:jc w:val="both"/>
        <w:rPr>
          <w:rFonts w:ascii="Garamond" w:eastAsia="Times New Roman" w:hAnsi="Garamond" w:cs="Garamond"/>
          <w:lang w:eastAsia="pt-BR"/>
        </w:rPr>
      </w:pPr>
      <w:r>
        <w:rPr>
          <w:rFonts w:ascii="Garamond" w:eastAsia="Times New Roman" w:hAnsi="Garamond" w:cs="Garamond"/>
          <w:lang w:eastAsia="pt-BR"/>
        </w:rPr>
        <w:t>São essas as considerações desta Promotoria, que se coloca à disposição para o que mais se fizer necessário.</w:t>
      </w:r>
    </w:p>
    <w:p w:rsidR="001010A4" w:rsidRDefault="001010A4" w:rsidP="00884524">
      <w:pPr>
        <w:pStyle w:val="Standard"/>
        <w:suppressAutoHyphens w:val="0"/>
        <w:spacing w:line="276" w:lineRule="auto"/>
        <w:ind w:firstLine="709"/>
        <w:jc w:val="both"/>
        <w:rPr>
          <w:rFonts w:ascii="Garamond" w:eastAsia="Times New Roman" w:hAnsi="Garamond" w:cs="Garamond"/>
          <w:lang w:eastAsia="pt-BR"/>
        </w:rPr>
      </w:pPr>
    </w:p>
    <w:p w:rsidR="001010A4" w:rsidRDefault="001010A4" w:rsidP="00884524">
      <w:pPr>
        <w:pStyle w:val="Standard"/>
        <w:suppressAutoHyphens w:val="0"/>
        <w:spacing w:line="276" w:lineRule="auto"/>
        <w:ind w:firstLine="709"/>
        <w:jc w:val="both"/>
        <w:rPr>
          <w:rFonts w:ascii="Garamond" w:eastAsia="Times New Roman" w:hAnsi="Garamond" w:cs="Garamond"/>
          <w:lang w:eastAsia="pt-BR"/>
        </w:rPr>
      </w:pPr>
    </w:p>
    <w:p w:rsidR="001010A4" w:rsidRDefault="009F3A06" w:rsidP="00884524">
      <w:pPr>
        <w:pStyle w:val="Standard"/>
        <w:suppressAutoHyphens w:val="0"/>
        <w:spacing w:line="276" w:lineRule="auto"/>
        <w:ind w:firstLine="709"/>
        <w:jc w:val="right"/>
        <w:rPr>
          <w:rFonts w:ascii="Garamond" w:eastAsia="Times New Roman" w:hAnsi="Garamond" w:cs="Garamond"/>
          <w:lang w:eastAsia="pt-BR"/>
        </w:rPr>
      </w:pPr>
      <w:r>
        <w:rPr>
          <w:rFonts w:ascii="Garamond" w:eastAsia="Times New Roman" w:hAnsi="Garamond" w:cs="Garamond"/>
          <w:lang w:eastAsia="pt-BR"/>
        </w:rPr>
        <w:t xml:space="preserve">Belo Horizonte, </w:t>
      </w:r>
      <w:r w:rsidR="000A788B">
        <w:rPr>
          <w:rFonts w:ascii="Garamond" w:eastAsia="Times New Roman" w:hAnsi="Garamond" w:cs="Garamond"/>
          <w:lang w:eastAsia="pt-BR"/>
        </w:rPr>
        <w:t>02 de agosto</w:t>
      </w:r>
      <w:r>
        <w:rPr>
          <w:rFonts w:ascii="Garamond" w:eastAsia="Times New Roman" w:hAnsi="Garamond" w:cs="Garamond"/>
          <w:lang w:eastAsia="pt-BR"/>
        </w:rPr>
        <w:t xml:space="preserve"> de 2017.</w:t>
      </w:r>
    </w:p>
    <w:p w:rsidR="001010A4" w:rsidRDefault="001010A4" w:rsidP="00884524">
      <w:pPr>
        <w:pStyle w:val="Standard"/>
        <w:suppressAutoHyphens w:val="0"/>
        <w:spacing w:line="276" w:lineRule="auto"/>
        <w:ind w:firstLine="709"/>
        <w:jc w:val="both"/>
        <w:rPr>
          <w:rFonts w:ascii="Garamond" w:eastAsia="Times New Roman" w:hAnsi="Garamond" w:cs="Garamond"/>
          <w:lang w:eastAsia="pt-BR"/>
        </w:rPr>
      </w:pPr>
    </w:p>
    <w:tbl>
      <w:tblPr>
        <w:tblW w:w="9430" w:type="dxa"/>
        <w:tblInd w:w="-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0"/>
        <w:gridCol w:w="4680"/>
      </w:tblGrid>
      <w:tr w:rsidR="001010A4">
        <w:tc>
          <w:tcPr>
            <w:tcW w:w="47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010A4" w:rsidRDefault="001010A4" w:rsidP="00884524">
            <w:pPr>
              <w:pStyle w:val="Standard"/>
              <w:keepNext/>
              <w:snapToGrid w:val="0"/>
              <w:spacing w:line="276" w:lineRule="auto"/>
              <w:rPr>
                <w:rFonts w:ascii="Garamond" w:hAnsi="Garamond" w:cs="Arial"/>
              </w:rPr>
            </w:pPr>
          </w:p>
          <w:p w:rsidR="00FB1DF8" w:rsidRDefault="00FB1DF8" w:rsidP="00884524">
            <w:pPr>
              <w:pStyle w:val="Standard"/>
              <w:keepNext/>
              <w:snapToGrid w:val="0"/>
              <w:spacing w:line="276" w:lineRule="auto"/>
              <w:rPr>
                <w:rFonts w:ascii="Garamond" w:hAnsi="Garamond" w:cs="Arial"/>
              </w:rPr>
            </w:pPr>
          </w:p>
        </w:tc>
        <w:tc>
          <w:tcPr>
            <w:tcW w:w="46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010A4" w:rsidRDefault="001010A4" w:rsidP="00884524">
            <w:pPr>
              <w:pStyle w:val="Standard"/>
              <w:keepNext/>
              <w:snapToGrid w:val="0"/>
              <w:spacing w:line="276" w:lineRule="auto"/>
              <w:rPr>
                <w:rFonts w:ascii="Garamond" w:hAnsi="Garamond" w:cs="Arial"/>
              </w:rPr>
            </w:pPr>
          </w:p>
        </w:tc>
      </w:tr>
      <w:tr w:rsidR="001010A4">
        <w:tc>
          <w:tcPr>
            <w:tcW w:w="47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010A4" w:rsidRDefault="009F3A06" w:rsidP="00884524">
            <w:pPr>
              <w:pStyle w:val="Standard"/>
              <w:spacing w:line="276" w:lineRule="auto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 xml:space="preserve">Andréa </w:t>
            </w:r>
            <w:proofErr w:type="spellStart"/>
            <w:r>
              <w:rPr>
                <w:rFonts w:ascii="Garamond" w:hAnsi="Garamond" w:cs="Garamond"/>
              </w:rPr>
              <w:t>Lanna</w:t>
            </w:r>
            <w:proofErr w:type="spellEnd"/>
            <w:r>
              <w:rPr>
                <w:rFonts w:ascii="Garamond" w:hAnsi="Garamond" w:cs="Garamond"/>
              </w:rPr>
              <w:t xml:space="preserve"> Mendes Novais</w:t>
            </w:r>
          </w:p>
          <w:p w:rsidR="001010A4" w:rsidRDefault="009F3A06" w:rsidP="00884524">
            <w:pPr>
              <w:pStyle w:val="Standard"/>
              <w:spacing w:line="276" w:lineRule="auto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Analista do Ministério Público – MAMP 3951</w:t>
            </w:r>
          </w:p>
          <w:p w:rsidR="001010A4" w:rsidRDefault="009F3A06" w:rsidP="00884524">
            <w:pPr>
              <w:pStyle w:val="Standard"/>
              <w:spacing w:line="276" w:lineRule="auto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Arquiteta Urbanista – CAU A 27713-4</w:t>
            </w:r>
          </w:p>
        </w:tc>
        <w:tc>
          <w:tcPr>
            <w:tcW w:w="46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010A4" w:rsidRDefault="009F3A06" w:rsidP="00884524">
            <w:pPr>
              <w:pStyle w:val="Standard"/>
              <w:spacing w:line="276" w:lineRule="auto"/>
              <w:jc w:val="center"/>
              <w:rPr>
                <w:rFonts w:ascii="Garamond" w:hAnsi="Garamond" w:cs="Garamond"/>
              </w:rPr>
            </w:pPr>
            <w:proofErr w:type="spellStart"/>
            <w:r>
              <w:rPr>
                <w:rFonts w:ascii="Garamond" w:hAnsi="Garamond" w:cs="Garamond"/>
              </w:rPr>
              <w:t>Neise</w:t>
            </w:r>
            <w:proofErr w:type="spellEnd"/>
            <w:r>
              <w:rPr>
                <w:rFonts w:ascii="Garamond" w:hAnsi="Garamond" w:cs="Garamond"/>
              </w:rPr>
              <w:t xml:space="preserve"> Mendes Duarte</w:t>
            </w:r>
          </w:p>
          <w:p w:rsidR="001010A4" w:rsidRDefault="009F3A06" w:rsidP="00884524">
            <w:pPr>
              <w:pStyle w:val="Standard"/>
              <w:spacing w:line="276" w:lineRule="auto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Analista do Ministério Público – MAMP 5011</w:t>
            </w:r>
          </w:p>
          <w:p w:rsidR="001010A4" w:rsidRDefault="009F3A06" w:rsidP="00884524">
            <w:pPr>
              <w:pStyle w:val="Standard"/>
              <w:spacing w:line="276" w:lineRule="auto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Historiadora</w:t>
            </w:r>
          </w:p>
        </w:tc>
      </w:tr>
    </w:tbl>
    <w:p w:rsidR="00C15314" w:rsidRDefault="00C15314" w:rsidP="00884524">
      <w:pPr>
        <w:pStyle w:val="Standard"/>
        <w:spacing w:line="276" w:lineRule="auto"/>
        <w:jc w:val="center"/>
        <w:rPr>
          <w:rFonts w:ascii="Garamond" w:hAnsi="Garamond" w:cs="Garamond"/>
        </w:rPr>
      </w:pPr>
    </w:p>
    <w:p w:rsidR="00C15314" w:rsidRDefault="00C15314" w:rsidP="00C15314">
      <w:pPr>
        <w:pStyle w:val="Textbody"/>
      </w:pPr>
      <w:r>
        <w:br w:type="page"/>
      </w:r>
    </w:p>
    <w:p w:rsidR="00C15314" w:rsidRPr="00C15314" w:rsidRDefault="00C15314" w:rsidP="00C15314">
      <w:pPr>
        <w:widowControl/>
        <w:suppressAutoHyphens w:val="0"/>
        <w:autoSpaceDN/>
        <w:spacing w:line="276" w:lineRule="auto"/>
        <w:jc w:val="center"/>
        <w:textAlignment w:val="auto"/>
        <w:rPr>
          <w:rFonts w:ascii="Garamond" w:eastAsia="Times New Roman" w:hAnsi="Garamond" w:cs="Courier New"/>
          <w:b/>
          <w:bCs/>
          <w:kern w:val="0"/>
          <w:u w:val="single"/>
          <w:lang w:eastAsia="pt-BR" w:bidi="ar-SA"/>
        </w:rPr>
      </w:pPr>
      <w:r w:rsidRPr="00C15314">
        <w:rPr>
          <w:rFonts w:ascii="Garamond" w:eastAsia="Times New Roman" w:hAnsi="Garamond" w:cs="Courier New"/>
          <w:b/>
          <w:bCs/>
          <w:kern w:val="0"/>
          <w:u w:val="single"/>
          <w:lang w:eastAsia="pt-BR" w:bidi="ar-SA"/>
        </w:rPr>
        <w:lastRenderedPageBreak/>
        <w:t>ANEXO 1 – VALORAÇÃO DE DANOS</w:t>
      </w:r>
    </w:p>
    <w:p w:rsidR="00C15314" w:rsidRPr="00C15314" w:rsidRDefault="00C15314" w:rsidP="00C15314">
      <w:pPr>
        <w:widowControl/>
        <w:suppressAutoHyphens w:val="0"/>
        <w:autoSpaceDN/>
        <w:ind w:firstLine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C15314" w:rsidRDefault="00C15314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 w:rsidRPr="00C15314">
        <w:rPr>
          <w:rFonts w:ascii="Garamond" w:hAnsi="Garamond" w:cs="Garamond"/>
          <w:szCs w:val="27"/>
        </w:rPr>
        <w:t>O critério metodológico utilizado, denominado Condephaat, foi elaborado por uma equipe multidisciplinar de profissionais atuantes nas áreas do patrimônio cultural e ambiental, representando a Administração Pública direta, indireta e autárquica, o Ministério Público e segmento da sociedade civil organizada do Estado de São Paulo, entre eles o Conselho de Defesa do Patrimônio Histórico, Arqueológico, Artístico e Turístico do Estado de São Paulo (Condephaat).</w:t>
      </w:r>
    </w:p>
    <w:p w:rsidR="007D6212" w:rsidRPr="00C15314" w:rsidRDefault="007D6212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C15314" w:rsidRDefault="00C15314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 w:rsidRPr="00C15314">
        <w:rPr>
          <w:rFonts w:ascii="Garamond" w:hAnsi="Garamond" w:cs="Garamond"/>
          <w:szCs w:val="27"/>
        </w:rPr>
        <w:t>Os parâmetros utilizados para a valoração da lesão consideraram dois aspectos:</w:t>
      </w:r>
    </w:p>
    <w:p w:rsidR="007D6212" w:rsidRPr="00C15314" w:rsidRDefault="007D6212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C15314" w:rsidRDefault="00C15314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 w:rsidRPr="00C15314">
        <w:rPr>
          <w:rFonts w:ascii="Garamond" w:hAnsi="Garamond" w:cs="Garamond"/>
          <w:szCs w:val="27"/>
        </w:rPr>
        <w:t>- que tipo de bem foi atingido, atributo este que, em última análise, foi determinante para considerá-lo como merecedor de tratamento especial através dos vários instrumentos administrativos.</w:t>
      </w:r>
    </w:p>
    <w:p w:rsidR="007D6212" w:rsidRPr="00C15314" w:rsidRDefault="007D6212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C15314" w:rsidRDefault="00C15314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 w:rsidRPr="00C15314">
        <w:rPr>
          <w:rFonts w:ascii="Garamond" w:hAnsi="Garamond" w:cs="Garamond"/>
          <w:szCs w:val="27"/>
        </w:rPr>
        <w:t>- que tipo de dano foi causado a este bem, sua extensão, reversibilidade, causas e efeitos adversos decorrentes.</w:t>
      </w:r>
    </w:p>
    <w:p w:rsidR="007D6212" w:rsidRPr="00C15314" w:rsidRDefault="007D6212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C15314" w:rsidRDefault="00C15314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 w:rsidRPr="00C15314">
        <w:rPr>
          <w:rFonts w:ascii="Garamond" w:hAnsi="Garamond" w:cs="Garamond"/>
          <w:szCs w:val="27"/>
        </w:rPr>
        <w:t xml:space="preserve">Para cada critério, foram atribuídos pontos que são maiores ou menores de </w:t>
      </w:r>
      <w:r w:rsidR="00EA2BC2">
        <w:rPr>
          <w:rFonts w:ascii="Garamond" w:hAnsi="Garamond" w:cs="Garamond"/>
          <w:szCs w:val="27"/>
        </w:rPr>
        <w:t>acordo com a importância do bem</w:t>
      </w:r>
      <w:r w:rsidRPr="00C15314">
        <w:rPr>
          <w:rFonts w:ascii="Garamond" w:hAnsi="Garamond" w:cs="Garamond"/>
          <w:szCs w:val="27"/>
        </w:rPr>
        <w:t xml:space="preserve"> e conforme os danos causados ao mesmo, potencial de recuperação destes danos e os prejuízos gerados pelo dano ao imóvel. Estes pontos são lançados em uma fórmula juntamente com o valor venal do imóvel que sofreu a lesão, resultando no valor total da indenização. </w:t>
      </w:r>
    </w:p>
    <w:p w:rsidR="007D6212" w:rsidRPr="00C15314" w:rsidRDefault="007D6212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C15314" w:rsidRDefault="00C15314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 w:rsidRPr="00C15314">
        <w:rPr>
          <w:rFonts w:ascii="Garamond" w:hAnsi="Garamond" w:cs="Garamond"/>
          <w:szCs w:val="27"/>
        </w:rPr>
        <w:t xml:space="preserve">Para facilitar a sua utilização, esta metodologia e suas fórmulas </w:t>
      </w:r>
      <w:proofErr w:type="gramStart"/>
      <w:r w:rsidRPr="00C15314">
        <w:rPr>
          <w:rFonts w:ascii="Garamond" w:hAnsi="Garamond" w:cs="Garamond"/>
          <w:szCs w:val="27"/>
        </w:rPr>
        <w:t>foram</w:t>
      </w:r>
      <w:proofErr w:type="gramEnd"/>
      <w:r w:rsidRPr="00C15314">
        <w:rPr>
          <w:rFonts w:ascii="Garamond" w:hAnsi="Garamond" w:cs="Garamond"/>
          <w:szCs w:val="27"/>
        </w:rPr>
        <w:t xml:space="preserve"> aplicadas em uma tabela, que foi elaborada pelo Engenheiro de Minas Reinaldo Pimenta, lotado na Central de Apoio Técnico do Ministério Público do Estado de Minas Gerais.</w:t>
      </w:r>
    </w:p>
    <w:p w:rsidR="007D6212" w:rsidRPr="00C15314" w:rsidRDefault="007D6212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C15314" w:rsidRDefault="00C15314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 w:rsidRPr="00C15314">
        <w:rPr>
          <w:rFonts w:ascii="Garamond" w:hAnsi="Garamond" w:cs="Garamond"/>
          <w:szCs w:val="27"/>
        </w:rPr>
        <w:t>Para o cálculo da indenização é necessário informar o valor venal do imóvel. Segundo informações fornecidas pelo Cartório de Registro de Imóveis de P</w:t>
      </w:r>
      <w:r w:rsidR="00304588">
        <w:rPr>
          <w:rFonts w:ascii="Garamond" w:hAnsi="Garamond" w:cs="Garamond"/>
          <w:szCs w:val="27"/>
        </w:rPr>
        <w:t>aracatu</w:t>
      </w:r>
      <w:r w:rsidRPr="00C15314">
        <w:rPr>
          <w:rFonts w:ascii="Garamond" w:hAnsi="Garamond" w:cs="Garamond"/>
          <w:szCs w:val="27"/>
        </w:rPr>
        <w:t>, o imóvel foi avaliado em R$</w:t>
      </w:r>
      <w:r w:rsidR="00304588">
        <w:rPr>
          <w:rFonts w:ascii="Garamond" w:hAnsi="Garamond" w:cs="Garamond"/>
          <w:szCs w:val="27"/>
        </w:rPr>
        <w:t>51.683,80 quando da doação do imóvel ao atual proprietário em 10/06/2002.</w:t>
      </w:r>
    </w:p>
    <w:p w:rsidR="00E10E7A" w:rsidRDefault="00E10E7A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E10E7A" w:rsidRDefault="00E10E7A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>
        <w:rPr>
          <w:rFonts w:ascii="Garamond" w:hAnsi="Garamond" w:cs="Garamond"/>
          <w:szCs w:val="27"/>
        </w:rPr>
        <w:t>O valor foi atualizado através do sistema de cálculo de atualização monetária, desenvolvido pela Central de Apoio Técnico do Ministério Público de Minas Gerais, chegando ao valor de R$137.254,92 (cento e trinta e sete mil duzentos e cinquenta e quatro reais e noventa e dois centavos), que segue anexo.</w:t>
      </w:r>
    </w:p>
    <w:p w:rsidR="007D6212" w:rsidRPr="00C15314" w:rsidRDefault="007D6212" w:rsidP="007D6212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</w:p>
    <w:p w:rsidR="00C15314" w:rsidRDefault="00C15314" w:rsidP="00921E7B">
      <w:pPr>
        <w:pStyle w:val="PargrafodaLista"/>
        <w:spacing w:line="276" w:lineRule="auto"/>
        <w:ind w:left="0" w:firstLine="708"/>
        <w:jc w:val="both"/>
        <w:rPr>
          <w:rFonts w:ascii="Garamond" w:hAnsi="Garamond" w:cs="Garamond"/>
          <w:szCs w:val="27"/>
        </w:rPr>
      </w:pPr>
      <w:r w:rsidRPr="00C15314">
        <w:rPr>
          <w:rFonts w:ascii="Garamond" w:hAnsi="Garamond" w:cs="Garamond"/>
          <w:szCs w:val="27"/>
        </w:rPr>
        <w:t xml:space="preserve">O valor total a ser indenizado, seguindo a metodologia descrita acima, tendo sido utilizado para cálculo o valor venal do imóvel, foi de R$ </w:t>
      </w:r>
      <w:r w:rsidR="00921E7B">
        <w:rPr>
          <w:rFonts w:ascii="Garamond" w:hAnsi="Garamond" w:cs="Garamond"/>
          <w:szCs w:val="27"/>
        </w:rPr>
        <w:t xml:space="preserve">823.129,05 (oitocentos e vinte e três mil cento e vinte e nove reais). </w:t>
      </w:r>
    </w:p>
    <w:p w:rsidR="00921E7B" w:rsidRPr="00C15314" w:rsidRDefault="00921E7B" w:rsidP="00921E7B">
      <w:pPr>
        <w:pStyle w:val="PargrafodaLista"/>
        <w:spacing w:line="276" w:lineRule="auto"/>
        <w:ind w:left="0" w:firstLine="708"/>
        <w:jc w:val="both"/>
        <w:rPr>
          <w:rFonts w:ascii="Garamond" w:eastAsia="Times New Roman" w:hAnsi="Garamond"/>
          <w:kern w:val="0"/>
          <w:lang w:eastAsia="pt-BR"/>
        </w:rPr>
      </w:pPr>
    </w:p>
    <w:p w:rsidR="00C15314" w:rsidRPr="00C15314" w:rsidRDefault="00C15314" w:rsidP="00C15314">
      <w:pPr>
        <w:widowControl/>
        <w:suppressAutoHyphens w:val="0"/>
        <w:autoSpaceDN/>
        <w:spacing w:line="271" w:lineRule="auto"/>
        <w:jc w:val="center"/>
        <w:textAlignment w:val="auto"/>
        <w:rPr>
          <w:rFonts w:ascii="Garamond" w:eastAsia="Times New Roman" w:hAnsi="Garamond" w:cs="Times New Roman"/>
          <w:kern w:val="0"/>
          <w:lang w:eastAsia="pt-BR" w:bidi="ar-SA"/>
        </w:rPr>
      </w:pPr>
      <w:r w:rsidRPr="00C15314">
        <w:rPr>
          <w:rFonts w:ascii="Garamond" w:eastAsia="Times New Roman" w:hAnsi="Garamond" w:cs="Times New Roman"/>
          <w:kern w:val="0"/>
          <w:lang w:eastAsia="pt-BR" w:bidi="ar-SA"/>
        </w:rPr>
        <w:t xml:space="preserve">Andréa </w:t>
      </w:r>
      <w:proofErr w:type="spellStart"/>
      <w:r w:rsidRPr="00C15314">
        <w:rPr>
          <w:rFonts w:ascii="Garamond" w:eastAsia="Times New Roman" w:hAnsi="Garamond" w:cs="Times New Roman"/>
          <w:kern w:val="0"/>
          <w:lang w:eastAsia="pt-BR" w:bidi="ar-SA"/>
        </w:rPr>
        <w:t>Lanna</w:t>
      </w:r>
      <w:proofErr w:type="spellEnd"/>
      <w:r w:rsidRPr="00C15314">
        <w:rPr>
          <w:rFonts w:ascii="Garamond" w:eastAsia="Times New Roman" w:hAnsi="Garamond" w:cs="Times New Roman"/>
          <w:kern w:val="0"/>
          <w:lang w:eastAsia="pt-BR" w:bidi="ar-SA"/>
        </w:rPr>
        <w:t xml:space="preserve"> Mendes Novais</w:t>
      </w:r>
    </w:p>
    <w:p w:rsidR="001010A4" w:rsidRDefault="00C15314" w:rsidP="00921E7B">
      <w:pPr>
        <w:widowControl/>
        <w:suppressAutoHyphens w:val="0"/>
        <w:autoSpaceDN/>
        <w:spacing w:line="271" w:lineRule="auto"/>
        <w:jc w:val="center"/>
        <w:textAlignment w:val="auto"/>
        <w:rPr>
          <w:rFonts w:ascii="Garamond" w:hAnsi="Garamond" w:cs="Garamond"/>
        </w:rPr>
      </w:pPr>
      <w:r w:rsidRPr="00C15314">
        <w:rPr>
          <w:rFonts w:ascii="Garamond" w:eastAsia="Times New Roman" w:hAnsi="Garamond" w:cs="Times New Roman"/>
          <w:kern w:val="0"/>
          <w:lang w:eastAsia="pt-BR" w:bidi="ar-SA"/>
        </w:rPr>
        <w:t>Analista do Ministério Público – MAMP 3951</w:t>
      </w:r>
      <w:r w:rsidR="00921E7B">
        <w:rPr>
          <w:rFonts w:ascii="Garamond" w:eastAsia="Times New Roman" w:hAnsi="Garamond" w:cs="Times New Roman"/>
          <w:kern w:val="0"/>
          <w:lang w:eastAsia="pt-BR" w:bidi="ar-SA"/>
        </w:rPr>
        <w:t xml:space="preserve"> - </w:t>
      </w:r>
      <w:r w:rsidRPr="00C15314">
        <w:rPr>
          <w:rFonts w:ascii="Garamond" w:eastAsia="Arial Unicode MS" w:hAnsi="Garamond" w:cs="Times New Roman"/>
          <w:color w:val="000000"/>
          <w:kern w:val="0"/>
          <w:lang w:eastAsia="pt-BR" w:bidi="ar-SA"/>
        </w:rPr>
        <w:t>Arquiteta Urbanista – CAU A 27713-4</w:t>
      </w:r>
    </w:p>
    <w:sectPr w:rsidR="001010A4">
      <w:headerReference w:type="default" r:id="rId11"/>
      <w:footerReference w:type="default" r:id="rId12"/>
      <w:pgSz w:w="11906" w:h="16838"/>
      <w:pgMar w:top="623" w:right="1701" w:bottom="907" w:left="1701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8C2" w:rsidRDefault="00F158C2">
      <w:r>
        <w:separator/>
      </w:r>
    </w:p>
  </w:endnote>
  <w:endnote w:type="continuationSeparator" w:id="0">
    <w:p w:rsidR="00F158C2" w:rsidRDefault="00F15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117" w:rsidRDefault="009F3A0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-93240</wp:posOffset>
          </wp:positionH>
          <wp:positionV relativeFrom="paragraph">
            <wp:posOffset>113040</wp:posOffset>
          </wp:positionV>
          <wp:extent cx="5399280" cy="446400"/>
          <wp:effectExtent l="0" t="0" r="0" b="0"/>
          <wp:wrapSquare wrapText="bothSides"/>
          <wp:docPr id="2" name="Figura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280" cy="44640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042117" w:rsidRDefault="00363DF6">
    <w:pPr>
      <w:pStyle w:val="Rodap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8C2" w:rsidRDefault="00F158C2">
      <w:r>
        <w:rPr>
          <w:color w:val="000000"/>
        </w:rPr>
        <w:separator/>
      </w:r>
    </w:p>
  </w:footnote>
  <w:footnote w:type="continuationSeparator" w:id="0">
    <w:p w:rsidR="00F158C2" w:rsidRDefault="00F158C2">
      <w:r>
        <w:continuationSeparator/>
      </w:r>
    </w:p>
  </w:footnote>
  <w:footnote w:id="1">
    <w:p w:rsidR="00884524" w:rsidRDefault="00884524">
      <w:pPr>
        <w:pStyle w:val="Textodenotaderodap"/>
      </w:pPr>
      <w:r w:rsidRPr="00884524">
        <w:rPr>
          <w:rStyle w:val="Refdenotaderodap"/>
          <w:rFonts w:ascii="Garamond" w:hAnsi="Garamond"/>
        </w:rPr>
        <w:footnoteRef/>
      </w:r>
      <w:r w:rsidRPr="00884524">
        <w:rPr>
          <w:rFonts w:ascii="Garamond" w:hAnsi="Garamond"/>
        </w:rPr>
        <w:t xml:space="preserve"> Não está claro nos autos se o imóvel foi demolido pelo proprietário ou se se arruinou devido o avançado estado de degradação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117" w:rsidRDefault="009F3A06">
    <w:pPr>
      <w:pStyle w:val="Cabealho"/>
    </w:pPr>
    <w:r>
      <w:rPr>
        <w:noProof/>
        <w:lang w:eastAsia="pt-BR"/>
      </w:rPr>
      <w:drawing>
        <wp:inline distT="0" distB="0" distL="0" distR="0">
          <wp:extent cx="5334120" cy="807120"/>
          <wp:effectExtent l="0" t="0" r="0" b="0"/>
          <wp:docPr id="1" name="Figura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120" cy="80712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B76"/>
    <w:multiLevelType w:val="multilevel"/>
    <w:tmpl w:val="2578E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944B37"/>
    <w:multiLevelType w:val="multilevel"/>
    <w:tmpl w:val="6B7AAB4C"/>
    <w:styleLink w:val="WW8Num13"/>
    <w:lvl w:ilvl="0">
      <w:start w:val="1"/>
      <w:numFmt w:val="decimal"/>
      <w:lvlText w:val="%1)"/>
      <w:lvlJc w:val="left"/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07E3405D"/>
    <w:multiLevelType w:val="multilevel"/>
    <w:tmpl w:val="F96AEDAC"/>
    <w:styleLink w:val="WW8Num15"/>
    <w:lvl w:ilvl="0">
      <w:numFmt w:val="bullet"/>
      <w:lvlText w:val=""/>
      <w:lvlJc w:val="left"/>
      <w:rPr>
        <w:rFonts w:ascii="Symbol" w:hAnsi="Symbol" w:cs="Symbol"/>
        <w:sz w:val="20"/>
      </w:rPr>
    </w:lvl>
    <w:lvl w:ilvl="1">
      <w:numFmt w:val="bullet"/>
      <w:lvlText w:val="o"/>
      <w:lvlJc w:val="left"/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rPr>
        <w:rFonts w:ascii="Wingdings" w:hAnsi="Wingdings" w:cs="Wingdings"/>
        <w:sz w:val="20"/>
      </w:rPr>
    </w:lvl>
    <w:lvl w:ilvl="3">
      <w:numFmt w:val="bullet"/>
      <w:lvlText w:val=""/>
      <w:lvlJc w:val="left"/>
      <w:rPr>
        <w:rFonts w:ascii="Wingdings" w:hAnsi="Wingdings" w:cs="Wingdings"/>
        <w:sz w:val="20"/>
      </w:rPr>
    </w:lvl>
    <w:lvl w:ilvl="4">
      <w:numFmt w:val="bullet"/>
      <w:lvlText w:val=""/>
      <w:lvlJc w:val="left"/>
      <w:rPr>
        <w:rFonts w:ascii="Wingdings" w:hAnsi="Wingdings" w:cs="Wingdings"/>
        <w:sz w:val="20"/>
      </w:rPr>
    </w:lvl>
    <w:lvl w:ilvl="5">
      <w:numFmt w:val="bullet"/>
      <w:lvlText w:val=""/>
      <w:lvlJc w:val="left"/>
      <w:rPr>
        <w:rFonts w:ascii="Wingdings" w:hAnsi="Wingdings" w:cs="Wingdings"/>
        <w:sz w:val="20"/>
      </w:rPr>
    </w:lvl>
    <w:lvl w:ilvl="6">
      <w:numFmt w:val="bullet"/>
      <w:lvlText w:val=""/>
      <w:lvlJc w:val="left"/>
      <w:rPr>
        <w:rFonts w:ascii="Wingdings" w:hAnsi="Wingdings" w:cs="Wingdings"/>
        <w:sz w:val="20"/>
      </w:rPr>
    </w:lvl>
    <w:lvl w:ilvl="7">
      <w:numFmt w:val="bullet"/>
      <w:lvlText w:val=""/>
      <w:lvlJc w:val="left"/>
      <w:rPr>
        <w:rFonts w:ascii="Wingdings" w:hAnsi="Wingdings" w:cs="Wingdings"/>
        <w:sz w:val="20"/>
      </w:rPr>
    </w:lvl>
    <w:lvl w:ilvl="8">
      <w:numFmt w:val="bullet"/>
      <w:lvlText w:val=""/>
      <w:lvlJc w:val="left"/>
      <w:rPr>
        <w:rFonts w:ascii="Wingdings" w:hAnsi="Wingdings" w:cs="Wingdings"/>
        <w:sz w:val="20"/>
      </w:rPr>
    </w:lvl>
  </w:abstractNum>
  <w:abstractNum w:abstractNumId="3">
    <w:nsid w:val="0CB4751A"/>
    <w:multiLevelType w:val="multilevel"/>
    <w:tmpl w:val="8950267C"/>
    <w:styleLink w:val="WW8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0FA01120"/>
    <w:multiLevelType w:val="multilevel"/>
    <w:tmpl w:val="61B2532C"/>
    <w:styleLink w:val="WW8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122F4C72"/>
    <w:multiLevelType w:val="multilevel"/>
    <w:tmpl w:val="0CB25ECC"/>
    <w:styleLink w:val="WW8Num1"/>
    <w:lvl w:ilvl="0">
      <w:start w:val="1"/>
      <w:numFmt w:val="none"/>
      <w:pStyle w:val="Heading10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6">
    <w:nsid w:val="210E4EA8"/>
    <w:multiLevelType w:val="multilevel"/>
    <w:tmpl w:val="B4AEF4AA"/>
    <w:styleLink w:val="WW8Num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24CD0A0A"/>
    <w:multiLevelType w:val="multilevel"/>
    <w:tmpl w:val="9CC6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D64298"/>
    <w:multiLevelType w:val="multilevel"/>
    <w:tmpl w:val="F8BE24AE"/>
    <w:styleLink w:val="WW8Num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348E5BE1"/>
    <w:multiLevelType w:val="multilevel"/>
    <w:tmpl w:val="08F2727E"/>
    <w:styleLink w:val="WW8Num5"/>
    <w:lvl w:ilvl="0">
      <w:start w:val="1"/>
      <w:numFmt w:val="decimal"/>
      <w:lvlText w:val="%1)"/>
      <w:lvlJc w:val="left"/>
    </w:lvl>
    <w:lvl w:ilvl="1">
      <w:numFmt w:val="bullet"/>
      <w:lvlText w:val=""/>
      <w:lvlJc w:val="left"/>
      <w:rPr>
        <w:rFonts w:ascii="Symbol" w:hAnsi="Symbol" w:cs="Symbol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37A864E5"/>
    <w:multiLevelType w:val="multilevel"/>
    <w:tmpl w:val="CFEE68BA"/>
    <w:styleLink w:val="WW8Num1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>
    <w:nsid w:val="41702968"/>
    <w:multiLevelType w:val="multilevel"/>
    <w:tmpl w:val="696604F6"/>
    <w:styleLink w:val="WW8Num11"/>
    <w:lvl w:ilvl="0">
      <w:start w:val="1"/>
      <w:numFmt w:val="decimal"/>
      <w:lvlText w:val="%1."/>
      <w:lvlJc w:val="left"/>
      <w:rPr>
        <w:rFonts w:ascii="Garamond" w:hAnsi="Garamond" w:cs="Garamond"/>
        <w:b/>
        <w:szCs w:val="27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48580EBB"/>
    <w:multiLevelType w:val="multilevel"/>
    <w:tmpl w:val="B63457EA"/>
    <w:styleLink w:val="WW8Num12"/>
    <w:lvl w:ilvl="0">
      <w:numFmt w:val="bullet"/>
      <w:lvlText w:val="o"/>
      <w:lvlJc w:val="left"/>
      <w:rPr>
        <w:rFonts w:ascii="Courier New" w:hAnsi="Courier New" w:cs="Courier New"/>
      </w:rPr>
    </w:lvl>
    <w:lvl w:ilvl="1">
      <w:numFmt w:val="bullet"/>
      <w:lvlText w:val="o"/>
      <w:lvlJc w:val="left"/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rPr>
        <w:rFonts w:ascii="Wingdings" w:hAnsi="Wingdings" w:cs="Wingdings"/>
        <w:sz w:val="20"/>
      </w:rPr>
    </w:lvl>
    <w:lvl w:ilvl="3">
      <w:numFmt w:val="bullet"/>
      <w:lvlText w:val=""/>
      <w:lvlJc w:val="left"/>
      <w:rPr>
        <w:rFonts w:ascii="Wingdings" w:hAnsi="Wingdings" w:cs="Wingdings"/>
        <w:sz w:val="20"/>
      </w:rPr>
    </w:lvl>
    <w:lvl w:ilvl="4">
      <w:numFmt w:val="bullet"/>
      <w:lvlText w:val=""/>
      <w:lvlJc w:val="left"/>
      <w:rPr>
        <w:rFonts w:ascii="Wingdings" w:hAnsi="Wingdings" w:cs="Wingdings"/>
        <w:sz w:val="20"/>
      </w:rPr>
    </w:lvl>
    <w:lvl w:ilvl="5">
      <w:numFmt w:val="bullet"/>
      <w:lvlText w:val=""/>
      <w:lvlJc w:val="left"/>
      <w:rPr>
        <w:rFonts w:ascii="Wingdings" w:hAnsi="Wingdings" w:cs="Wingdings"/>
        <w:sz w:val="20"/>
      </w:rPr>
    </w:lvl>
    <w:lvl w:ilvl="6">
      <w:numFmt w:val="bullet"/>
      <w:lvlText w:val=""/>
      <w:lvlJc w:val="left"/>
      <w:rPr>
        <w:rFonts w:ascii="Wingdings" w:hAnsi="Wingdings" w:cs="Wingdings"/>
        <w:sz w:val="20"/>
      </w:rPr>
    </w:lvl>
    <w:lvl w:ilvl="7">
      <w:numFmt w:val="bullet"/>
      <w:lvlText w:val=""/>
      <w:lvlJc w:val="left"/>
      <w:rPr>
        <w:rFonts w:ascii="Wingdings" w:hAnsi="Wingdings" w:cs="Wingdings"/>
        <w:sz w:val="20"/>
      </w:rPr>
    </w:lvl>
    <w:lvl w:ilvl="8">
      <w:numFmt w:val="bullet"/>
      <w:lvlText w:val=""/>
      <w:lvlJc w:val="left"/>
      <w:rPr>
        <w:rFonts w:ascii="Wingdings" w:hAnsi="Wingdings" w:cs="Wingdings"/>
        <w:sz w:val="20"/>
      </w:rPr>
    </w:lvl>
  </w:abstractNum>
  <w:abstractNum w:abstractNumId="13">
    <w:nsid w:val="5B6A495D"/>
    <w:multiLevelType w:val="hybridMultilevel"/>
    <w:tmpl w:val="87402A0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BF21343"/>
    <w:multiLevelType w:val="multilevel"/>
    <w:tmpl w:val="424A76FE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>
    <w:nsid w:val="6AA17A4F"/>
    <w:multiLevelType w:val="multilevel"/>
    <w:tmpl w:val="F6688E48"/>
    <w:styleLink w:val="WW8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75DC39AA"/>
    <w:multiLevelType w:val="multilevel"/>
    <w:tmpl w:val="EA7E7280"/>
    <w:styleLink w:val="WW8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rPr>
        <w:rFonts w:ascii="Wingdings" w:hAnsi="Wingdings" w:cs="Wingdings"/>
        <w:sz w:val="20"/>
      </w:rPr>
    </w:lvl>
    <w:lvl w:ilvl="3">
      <w:numFmt w:val="bullet"/>
      <w:lvlText w:val=""/>
      <w:lvlJc w:val="left"/>
      <w:rPr>
        <w:rFonts w:ascii="Wingdings" w:hAnsi="Wingdings" w:cs="Wingdings"/>
        <w:sz w:val="20"/>
      </w:rPr>
    </w:lvl>
    <w:lvl w:ilvl="4">
      <w:numFmt w:val="bullet"/>
      <w:lvlText w:val=""/>
      <w:lvlJc w:val="left"/>
      <w:rPr>
        <w:rFonts w:ascii="Wingdings" w:hAnsi="Wingdings" w:cs="Wingdings"/>
        <w:sz w:val="20"/>
      </w:rPr>
    </w:lvl>
    <w:lvl w:ilvl="5">
      <w:numFmt w:val="bullet"/>
      <w:lvlText w:val=""/>
      <w:lvlJc w:val="left"/>
      <w:rPr>
        <w:rFonts w:ascii="Wingdings" w:hAnsi="Wingdings" w:cs="Wingdings"/>
        <w:sz w:val="20"/>
      </w:rPr>
    </w:lvl>
    <w:lvl w:ilvl="6">
      <w:numFmt w:val="bullet"/>
      <w:lvlText w:val=""/>
      <w:lvlJc w:val="left"/>
      <w:rPr>
        <w:rFonts w:ascii="Wingdings" w:hAnsi="Wingdings" w:cs="Wingdings"/>
        <w:sz w:val="20"/>
      </w:rPr>
    </w:lvl>
    <w:lvl w:ilvl="7">
      <w:numFmt w:val="bullet"/>
      <w:lvlText w:val=""/>
      <w:lvlJc w:val="left"/>
      <w:rPr>
        <w:rFonts w:ascii="Wingdings" w:hAnsi="Wingdings" w:cs="Wingdings"/>
        <w:sz w:val="20"/>
      </w:rPr>
    </w:lvl>
    <w:lvl w:ilvl="8">
      <w:numFmt w:val="bullet"/>
      <w:lvlText w:val=""/>
      <w:lvlJc w:val="left"/>
      <w:rPr>
        <w:rFonts w:ascii="Wingdings" w:hAnsi="Wingdings" w:cs="Wingdings"/>
        <w:sz w:val="20"/>
      </w:rPr>
    </w:lvl>
  </w:abstractNum>
  <w:abstractNum w:abstractNumId="17">
    <w:nsid w:val="7B1656DA"/>
    <w:multiLevelType w:val="multilevel"/>
    <w:tmpl w:val="60E814C8"/>
    <w:styleLink w:val="WW8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8">
    <w:nsid w:val="7C6F05B9"/>
    <w:multiLevelType w:val="multilevel"/>
    <w:tmpl w:val="5F8C095A"/>
    <w:styleLink w:val="WW8Num14"/>
    <w:lvl w:ilvl="0">
      <w:numFmt w:val="bullet"/>
      <w:lvlText w:val=""/>
      <w:lvlJc w:val="left"/>
      <w:rPr>
        <w:rFonts w:ascii="Symbol" w:eastAsia="Times New Roman" w:hAnsi="Symbol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9">
    <w:nsid w:val="7D172A93"/>
    <w:multiLevelType w:val="hybridMultilevel"/>
    <w:tmpl w:val="63CE57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8"/>
  </w:num>
  <w:num w:numId="5">
    <w:abstractNumId w:val="9"/>
  </w:num>
  <w:num w:numId="6">
    <w:abstractNumId w:val="16"/>
  </w:num>
  <w:num w:numId="7">
    <w:abstractNumId w:val="4"/>
  </w:num>
  <w:num w:numId="8">
    <w:abstractNumId w:val="3"/>
  </w:num>
  <w:num w:numId="9">
    <w:abstractNumId w:val="15"/>
  </w:num>
  <w:num w:numId="10">
    <w:abstractNumId w:val="17"/>
  </w:num>
  <w:num w:numId="11">
    <w:abstractNumId w:val="11"/>
  </w:num>
  <w:num w:numId="12">
    <w:abstractNumId w:val="12"/>
  </w:num>
  <w:num w:numId="13">
    <w:abstractNumId w:val="1"/>
  </w:num>
  <w:num w:numId="14">
    <w:abstractNumId w:val="18"/>
  </w:num>
  <w:num w:numId="15">
    <w:abstractNumId w:val="2"/>
  </w:num>
  <w:num w:numId="16">
    <w:abstractNumId w:val="10"/>
  </w:num>
  <w:num w:numId="17">
    <w:abstractNumId w:val="11"/>
    <w:lvlOverride w:ilvl="0">
      <w:startOverride w:val="1"/>
    </w:lvlOverride>
  </w:num>
  <w:num w:numId="18">
    <w:abstractNumId w:val="19"/>
  </w:num>
  <w:num w:numId="19">
    <w:abstractNumId w:val="0"/>
  </w:num>
  <w:num w:numId="20">
    <w:abstractNumId w:val="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010A4"/>
    <w:rsid w:val="0007344E"/>
    <w:rsid w:val="000A788B"/>
    <w:rsid w:val="000B53D8"/>
    <w:rsid w:val="001010A4"/>
    <w:rsid w:val="001E6641"/>
    <w:rsid w:val="002879DF"/>
    <w:rsid w:val="002B73FC"/>
    <w:rsid w:val="00304588"/>
    <w:rsid w:val="00363DF6"/>
    <w:rsid w:val="003B7C1E"/>
    <w:rsid w:val="003D2293"/>
    <w:rsid w:val="004A045E"/>
    <w:rsid w:val="00530180"/>
    <w:rsid w:val="00756611"/>
    <w:rsid w:val="00762A83"/>
    <w:rsid w:val="007C663E"/>
    <w:rsid w:val="007D6212"/>
    <w:rsid w:val="007F64E1"/>
    <w:rsid w:val="00867E89"/>
    <w:rsid w:val="00884524"/>
    <w:rsid w:val="00921E7B"/>
    <w:rsid w:val="009F3A06"/>
    <w:rsid w:val="00AA0FC0"/>
    <w:rsid w:val="00AF3116"/>
    <w:rsid w:val="00B163AA"/>
    <w:rsid w:val="00BC2450"/>
    <w:rsid w:val="00C15314"/>
    <w:rsid w:val="00C6698F"/>
    <w:rsid w:val="00E10E7A"/>
    <w:rsid w:val="00E24228"/>
    <w:rsid w:val="00EA2BC2"/>
    <w:rsid w:val="00F158C2"/>
    <w:rsid w:val="00F312F6"/>
    <w:rsid w:val="00FB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Textbody"/>
    <w:pPr>
      <w:keepNext/>
      <w:jc w:val="both"/>
      <w:outlineLvl w:val="0"/>
    </w:pPr>
    <w:rPr>
      <w:rFonts w:ascii="Arial" w:eastAsia="Arial Unicode MS" w:hAnsi="Arial" w:cs="Arial"/>
      <w:b/>
      <w:bCs/>
      <w:sz w:val="22"/>
      <w:szCs w:val="22"/>
    </w:rPr>
  </w:style>
  <w:style w:type="paragraph" w:styleId="Ttulo2">
    <w:name w:val="heading 2"/>
    <w:basedOn w:val="Standard"/>
    <w:next w:val="Textbody"/>
    <w:pPr>
      <w:keepNext/>
      <w:spacing w:line="360" w:lineRule="auto"/>
      <w:jc w:val="center"/>
      <w:outlineLvl w:val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styleId="Ttulo3">
    <w:name w:val="heading 3"/>
    <w:basedOn w:val="Standard"/>
    <w:next w:val="Textbody"/>
    <w:pPr>
      <w:keepNext/>
      <w:jc w:val="both"/>
      <w:outlineLvl w:val="2"/>
    </w:pPr>
    <w:rPr>
      <w:rFonts w:ascii="Tahoma" w:hAnsi="Tahoma" w:cs="Tahoma"/>
      <w:b/>
      <w:bCs/>
      <w:color w:val="000000"/>
      <w:sz w:val="22"/>
      <w:szCs w:val="22"/>
    </w:rPr>
  </w:style>
  <w:style w:type="paragraph" w:styleId="Ttulo4">
    <w:name w:val="heading 4"/>
    <w:basedOn w:val="Standard"/>
    <w:next w:val="Textbody"/>
    <w:pPr>
      <w:keepNext/>
      <w:ind w:firstLine="1134"/>
      <w:jc w:val="center"/>
      <w:outlineLvl w:val="3"/>
    </w:pPr>
    <w:rPr>
      <w:rFonts w:ascii="Tahoma" w:eastAsia="Arial Unicode MS" w:hAnsi="Tahoma" w:cs="Tahoma"/>
      <w:b/>
      <w:bCs/>
    </w:rPr>
  </w:style>
  <w:style w:type="paragraph" w:styleId="Ttulo5">
    <w:name w:val="heading 5"/>
    <w:basedOn w:val="Standard"/>
    <w:next w:val="Textbody"/>
    <w:pPr>
      <w:keepNext/>
      <w:outlineLvl w:val="4"/>
    </w:pPr>
    <w:rPr>
      <w:rFonts w:ascii="Tahoma" w:eastAsia="Arial Unicode MS" w:hAnsi="Tahoma" w:cs="Tahoma"/>
      <w:b/>
      <w:bCs/>
      <w:color w:val="000000"/>
    </w:rPr>
  </w:style>
  <w:style w:type="paragraph" w:styleId="Ttulo6">
    <w:name w:val="heading 6"/>
    <w:basedOn w:val="Standard"/>
    <w:next w:val="Textbody"/>
    <w:pPr>
      <w:keepNext/>
      <w:outlineLvl w:val="5"/>
    </w:pPr>
    <w:rPr>
      <w:rFonts w:ascii="Tahoma" w:eastAsia="Arial Unicode MS" w:hAnsi="Tahoma" w:cs="Tahoma"/>
      <w:b/>
      <w:bCs/>
      <w:sz w:val="22"/>
      <w:szCs w:val="22"/>
    </w:rPr>
  </w:style>
  <w:style w:type="paragraph" w:styleId="Ttulo7">
    <w:name w:val="heading 7"/>
    <w:basedOn w:val="Standard"/>
    <w:next w:val="Textbody"/>
    <w:pPr>
      <w:keepNext/>
      <w:ind w:left="708" w:firstLine="708"/>
      <w:jc w:val="right"/>
      <w:outlineLvl w:val="6"/>
    </w:pPr>
    <w:rPr>
      <w:rFonts w:ascii="Tahoma" w:hAnsi="Tahoma" w:cs="Tahoma"/>
      <w:b/>
      <w:bCs/>
      <w:sz w:val="21"/>
      <w:szCs w:val="21"/>
      <w:u w:val="single"/>
    </w:rPr>
  </w:style>
  <w:style w:type="paragraph" w:styleId="Ttulo8">
    <w:name w:val="heading 8"/>
    <w:basedOn w:val="Standard"/>
    <w:next w:val="Textbody"/>
    <w:pPr>
      <w:keepNext/>
      <w:outlineLvl w:val="7"/>
    </w:pPr>
    <w:rPr>
      <w:rFonts w:ascii="Tahoma" w:hAnsi="Tahoma" w:cs="Tahoma"/>
      <w:b/>
      <w:bCs/>
      <w:sz w:val="21"/>
      <w:szCs w:val="21"/>
    </w:rPr>
  </w:style>
  <w:style w:type="paragraph" w:styleId="Ttulo9">
    <w:name w:val="heading 9"/>
    <w:basedOn w:val="Standard"/>
    <w:next w:val="Textbody"/>
    <w:pPr>
      <w:keepNext/>
      <w:ind w:left="708" w:firstLine="708"/>
      <w:jc w:val="right"/>
      <w:outlineLvl w:val="8"/>
    </w:pPr>
    <w:rPr>
      <w:rFonts w:ascii="Tahoma" w:hAnsi="Tahoma" w:cs="Tahoma"/>
      <w:b/>
      <w:bCs/>
      <w:sz w:val="22"/>
      <w:szCs w:val="2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SimSun, 宋体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line="360" w:lineRule="auto"/>
      <w:jc w:val="both"/>
    </w:pPr>
    <w:rPr>
      <w:rFonts w:ascii="Arial" w:hAnsi="Arial" w:cs="Arial"/>
      <w:sz w:val="22"/>
      <w:szCs w:val="22"/>
    </w:r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tulo10">
    <w:name w:val="Título1"/>
    <w:basedOn w:val="Standard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WW-Ttulo">
    <w:name w:val="WW-Título"/>
    <w:basedOn w:val="Ttulo10"/>
    <w:next w:val="Textbody"/>
  </w:style>
  <w:style w:type="paragraph" w:styleId="Subttulo">
    <w:name w:val="Subtitle"/>
    <w:basedOn w:val="Ttulo10"/>
    <w:next w:val="Textbody"/>
    <w:pPr>
      <w:jc w:val="center"/>
    </w:pPr>
    <w:rPr>
      <w:i/>
      <w:iCs/>
    </w:rPr>
  </w:style>
  <w:style w:type="paragraph" w:styleId="Cabealho">
    <w:name w:val="header"/>
    <w:basedOn w:val="Standard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Standard"/>
    <w:pPr>
      <w:suppressLineNumbers/>
      <w:tabs>
        <w:tab w:val="center" w:pos="4419"/>
        <w:tab w:val="right" w:pos="8838"/>
      </w:tabs>
    </w:pPr>
  </w:style>
  <w:style w:type="paragraph" w:customStyle="1" w:styleId="Textbodyindent">
    <w:name w:val="Text body indent"/>
    <w:basedOn w:val="Standard"/>
    <w:pPr>
      <w:spacing w:line="360" w:lineRule="auto"/>
      <w:ind w:left="1418"/>
      <w:jc w:val="both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Recuodecorpodetexto21">
    <w:name w:val="Recuo de corpo de texto 21"/>
    <w:basedOn w:val="Standard"/>
    <w:pPr>
      <w:spacing w:line="360" w:lineRule="auto"/>
      <w:ind w:firstLine="1134"/>
      <w:jc w:val="both"/>
    </w:pPr>
    <w:rPr>
      <w:rFonts w:ascii="Tahoma" w:hAnsi="Tahoma" w:cs="Tahoma"/>
      <w:sz w:val="22"/>
      <w:szCs w:val="22"/>
    </w:rPr>
  </w:style>
  <w:style w:type="paragraph" w:customStyle="1" w:styleId="Textodebalo1">
    <w:name w:val="Texto de balão1"/>
    <w:basedOn w:val="Standard"/>
    <w:rPr>
      <w:rFonts w:ascii="Tahoma" w:hAnsi="Tahoma" w:cs="Tahoma"/>
      <w:sz w:val="16"/>
      <w:szCs w:val="16"/>
    </w:rPr>
  </w:style>
  <w:style w:type="paragraph" w:customStyle="1" w:styleId="Recuodecorpodetexto31">
    <w:name w:val="Recuo de corpo de texto 31"/>
    <w:basedOn w:val="Standard"/>
    <w:pPr>
      <w:ind w:firstLine="708"/>
      <w:jc w:val="both"/>
    </w:pPr>
  </w:style>
  <w:style w:type="paragraph" w:styleId="Textodenotaderodap">
    <w:name w:val="footnote text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Recuodecorpodetexto211">
    <w:name w:val="Recuo de corpo de texto 211"/>
    <w:basedOn w:val="Standard"/>
    <w:pPr>
      <w:spacing w:line="360" w:lineRule="auto"/>
      <w:ind w:firstLine="709"/>
      <w:jc w:val="both"/>
    </w:pPr>
    <w:rPr>
      <w:rFonts w:ascii="Arial" w:hAnsi="Arial" w:cs="Arial"/>
      <w:sz w:val="22"/>
      <w:szCs w:val="22"/>
    </w:rPr>
  </w:style>
  <w:style w:type="paragraph" w:customStyle="1" w:styleId="Corpodetexto21">
    <w:name w:val="Corpo de texto 21"/>
    <w:basedOn w:val="Standard"/>
    <w:rPr>
      <w:rFonts w:ascii="Tahoma" w:hAnsi="Tahoma" w:cs="Tahoma"/>
      <w:sz w:val="22"/>
      <w:szCs w:val="22"/>
    </w:rPr>
  </w:style>
  <w:style w:type="paragraph" w:customStyle="1" w:styleId="Heading10">
    <w:name w:val="Heading 10"/>
    <w:basedOn w:val="Ttulo10"/>
    <w:next w:val="Textbody"/>
    <w:pPr>
      <w:numPr>
        <w:numId w:val="1"/>
      </w:numPr>
    </w:pPr>
    <w:rPr>
      <w:b/>
      <w:bCs/>
      <w:sz w:val="21"/>
      <w:szCs w:val="21"/>
    </w:rPr>
  </w:style>
  <w:style w:type="paragraph" w:styleId="NormalWeb">
    <w:name w:val="Normal (Web)"/>
    <w:basedOn w:val="Standard"/>
    <w:pPr>
      <w:suppressAutoHyphens w:val="0"/>
      <w:spacing w:before="280" w:after="280"/>
    </w:pPr>
    <w:rPr>
      <w:rFonts w:ascii="SimSun, 宋体" w:hAnsi="SimSun, 宋体" w:cs="SimSun, 宋体"/>
    </w:rPr>
  </w:style>
  <w:style w:type="paragraph" w:styleId="Textodebalo">
    <w:name w:val="Balloon Text"/>
    <w:basedOn w:val="Standard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Standard"/>
    <w:pPr>
      <w:suppressAutoHyphens w:val="0"/>
      <w:spacing w:line="360" w:lineRule="auto"/>
      <w:ind w:firstLine="1134"/>
      <w:jc w:val="both"/>
    </w:pPr>
    <w:rPr>
      <w:rFonts w:ascii="Tahoma" w:eastAsia="Times New Roman" w:hAnsi="Tahoma" w:cs="Tahoma"/>
      <w:sz w:val="22"/>
    </w:rPr>
  </w:style>
  <w:style w:type="paragraph" w:styleId="Corpodetexto3">
    <w:name w:val="Body Text 3"/>
    <w:basedOn w:val="Standard"/>
    <w:pPr>
      <w:tabs>
        <w:tab w:val="left" w:pos="3312"/>
      </w:tabs>
      <w:suppressAutoHyphens w:val="0"/>
      <w:jc w:val="both"/>
    </w:pPr>
    <w:rPr>
      <w:rFonts w:ascii="Tahoma" w:eastAsia="Times New Roman" w:hAnsi="Tahoma" w:cs="Tahoma"/>
    </w:rPr>
  </w:style>
  <w:style w:type="paragraph" w:styleId="TextosemFormatao">
    <w:name w:val="Plain Text"/>
    <w:basedOn w:val="Standard"/>
    <w:pPr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Footnote">
    <w:name w:val="Footnote"/>
    <w:basedOn w:val="Standard"/>
    <w:pPr>
      <w:suppressAutoHyphens w:val="0"/>
    </w:pPr>
    <w:rPr>
      <w:rFonts w:ascii="Calibri" w:eastAsia="Calibri" w:hAnsi="Calibri" w:cs="Calibri"/>
      <w:sz w:val="20"/>
      <w:szCs w:val="20"/>
      <w:lang w:val="en-US"/>
    </w:rPr>
  </w:style>
  <w:style w:type="paragraph" w:styleId="PargrafodaLista">
    <w:name w:val="List Paragraph"/>
    <w:basedOn w:val="Standard"/>
    <w:pPr>
      <w:ind w:left="708"/>
    </w:pPr>
  </w:style>
  <w:style w:type="paragraph" w:styleId="Recuodecorpodetexto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pPr>
      <w:widowControl/>
      <w:autoSpaceDE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ese">
    <w:name w:val="tese"/>
    <w:basedOn w:val="Standard"/>
    <w:next w:val="Standard"/>
    <w:pPr>
      <w:suppressAutoHyphens w:val="0"/>
      <w:autoSpaceDE w:val="0"/>
      <w:spacing w:before="120" w:after="120"/>
    </w:pPr>
    <w:rPr>
      <w:rFonts w:eastAsia="Times New Roman"/>
    </w:rPr>
  </w:style>
  <w:style w:type="paragraph" w:customStyle="1" w:styleId="msobodytex0pt">
    <w:name w:val="msobodytex.0pt"/>
    <w:basedOn w:val="Standard"/>
    <w:pPr>
      <w:suppressAutoHyphens w:val="0"/>
      <w:spacing w:before="280" w:after="280"/>
    </w:pPr>
    <w:rPr>
      <w:rFonts w:ascii="Arial Unicode MS" w:eastAsia="Arial Unicode MS" w:hAnsi="Arial Unicode MS" w:cs="Arial Unicode MS"/>
      <w:color w:val="00000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cs="Times New Roman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Symbol" w:hAnsi="Symbol" w:cs="Symbol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Garamond" w:hAnsi="Garamond" w:cs="Garamond"/>
      <w:b/>
      <w:szCs w:val="27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Courier New" w:hAnsi="Courier New" w:cs="Courier New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Times New Roman" w:hAnsi="Times New Roman" w:cs="Times New Roman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eastAsia="Times New Roman" w:hAnsi="Symbol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Ttulo1Char1">
    <w:name w:val="Título 1 Char1"/>
    <w:rPr>
      <w:rFonts w:ascii="Cambria" w:hAnsi="Cambria" w:cs="Cambria"/>
      <w:b/>
      <w:bCs/>
      <w:kern w:val="3"/>
      <w:sz w:val="32"/>
      <w:szCs w:val="32"/>
      <w:lang w:bidi="ar-SA"/>
    </w:rPr>
  </w:style>
  <w:style w:type="character" w:customStyle="1" w:styleId="Ttulo2Char1">
    <w:name w:val="Título 2 Char1"/>
    <w:rPr>
      <w:rFonts w:ascii="Cambria" w:hAnsi="Cambria" w:cs="Cambria"/>
      <w:b/>
      <w:bCs/>
      <w:i/>
      <w:iCs/>
      <w:sz w:val="28"/>
      <w:szCs w:val="28"/>
      <w:lang w:bidi="ar-SA"/>
    </w:rPr>
  </w:style>
  <w:style w:type="character" w:customStyle="1" w:styleId="Ttulo3Char1">
    <w:name w:val="Título 3 Char1"/>
    <w:rPr>
      <w:rFonts w:ascii="Cambria" w:hAnsi="Cambria" w:cs="Cambria"/>
      <w:b/>
      <w:bCs/>
      <w:sz w:val="26"/>
      <w:szCs w:val="26"/>
      <w:lang w:bidi="ar-SA"/>
    </w:rPr>
  </w:style>
  <w:style w:type="character" w:customStyle="1" w:styleId="Ttulo4Char1">
    <w:name w:val="Título 4 Char1"/>
    <w:rPr>
      <w:rFonts w:ascii="Times New Roman" w:hAnsi="Times New Roman" w:cs="Times New Roman"/>
      <w:b/>
      <w:bCs/>
      <w:sz w:val="28"/>
      <w:szCs w:val="28"/>
      <w:lang w:bidi="ar-SA"/>
    </w:rPr>
  </w:style>
  <w:style w:type="character" w:customStyle="1" w:styleId="Ttulo5Char1">
    <w:name w:val="Título 5 Char1"/>
    <w:rPr>
      <w:rFonts w:ascii="Times New Roman" w:hAnsi="Times New Roman" w:cs="Times New Roman"/>
      <w:b/>
      <w:bCs/>
      <w:i/>
      <w:iCs/>
      <w:sz w:val="26"/>
      <w:szCs w:val="26"/>
      <w:lang w:bidi="ar-SA"/>
    </w:rPr>
  </w:style>
  <w:style w:type="character" w:customStyle="1" w:styleId="Ttulo6Char1">
    <w:name w:val="Título 6 Char1"/>
    <w:rPr>
      <w:rFonts w:ascii="Times New Roman" w:hAnsi="Times New Roman" w:cs="Times New Roman"/>
      <w:b/>
      <w:bCs/>
      <w:lang w:bidi="ar-SA"/>
    </w:rPr>
  </w:style>
  <w:style w:type="character" w:customStyle="1" w:styleId="Ttulo7Char1">
    <w:name w:val="Título 7 Char1"/>
    <w:rPr>
      <w:rFonts w:ascii="Times New Roman" w:hAnsi="Times New Roman" w:cs="Times New Roman"/>
      <w:sz w:val="24"/>
      <w:szCs w:val="24"/>
      <w:lang w:bidi="ar-SA"/>
    </w:rPr>
  </w:style>
  <w:style w:type="character" w:customStyle="1" w:styleId="Ttulo8Char1">
    <w:name w:val="Título 8 Char1"/>
    <w:rPr>
      <w:rFonts w:ascii="Times New Roman" w:hAnsi="Times New Roman" w:cs="Times New Roman"/>
      <w:i/>
      <w:iCs/>
      <w:sz w:val="24"/>
      <w:szCs w:val="24"/>
      <w:lang w:bidi="ar-SA"/>
    </w:rPr>
  </w:style>
  <w:style w:type="character" w:customStyle="1" w:styleId="Ttulo9Char1">
    <w:name w:val="Título 9 Char1"/>
    <w:rPr>
      <w:rFonts w:ascii="Cambria" w:hAnsi="Cambria" w:cs="Cambria"/>
      <w:lang w:bidi="ar-SA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Fontepargpadro1">
    <w:name w:val="Fonte parág. padrão1"/>
  </w:style>
  <w:style w:type="character" w:customStyle="1" w:styleId="Ttulo1Char">
    <w:name w:val="Título 1 Char"/>
    <w:rPr>
      <w:rFonts w:ascii="Cambria" w:hAnsi="Cambria" w:cs="Cambria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hAnsi="Cambria" w:cs="Cambria"/>
      <w:b/>
      <w:bCs/>
      <w:sz w:val="26"/>
      <w:szCs w:val="26"/>
    </w:rPr>
  </w:style>
  <w:style w:type="character" w:customStyle="1" w:styleId="Ttulo4Char">
    <w:name w:val="Título 4 Char"/>
    <w:rPr>
      <w:rFonts w:ascii="Times New Roman" w:hAnsi="Times New Roman" w:cs="Times New Roman"/>
      <w:b/>
      <w:bCs/>
      <w:sz w:val="28"/>
      <w:szCs w:val="28"/>
    </w:rPr>
  </w:style>
  <w:style w:type="character" w:customStyle="1" w:styleId="Ttulo5Char">
    <w:name w:val="Título 5 Char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rFonts w:ascii="Times New Roman" w:hAnsi="Times New Roman" w:cs="Times New Roman"/>
      <w:b/>
      <w:bCs/>
    </w:rPr>
  </w:style>
  <w:style w:type="character" w:customStyle="1" w:styleId="Ttulo7Char">
    <w:name w:val="Título 7 Char"/>
    <w:rPr>
      <w:rFonts w:ascii="Times New Roman" w:hAnsi="Times New Roman" w:cs="Times New Roman"/>
      <w:sz w:val="24"/>
      <w:szCs w:val="24"/>
    </w:rPr>
  </w:style>
  <w:style w:type="character" w:customStyle="1" w:styleId="Ttulo8Char">
    <w:name w:val="Título 8 Char"/>
    <w:rPr>
      <w:rFonts w:ascii="Times New Roman" w:hAnsi="Times New Roman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hAnsi="Cambria" w:cs="Cambria"/>
    </w:rPr>
  </w:style>
  <w:style w:type="character" w:customStyle="1" w:styleId="CabealhoChar">
    <w:name w:val="Cabeçalho Char"/>
    <w:rPr>
      <w:rFonts w:ascii="Times New Roman" w:hAnsi="Times New Roman" w:cs="Times New Roman"/>
      <w:sz w:val="24"/>
      <w:szCs w:val="24"/>
    </w:rPr>
  </w:style>
  <w:style w:type="character" w:customStyle="1" w:styleId="RodapChar">
    <w:name w:val="Rodapé Char"/>
    <w:rPr>
      <w:rFonts w:ascii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rPr>
      <w:rFonts w:ascii="Times New Roman" w:hAnsi="Times New Roman" w:cs="Times New Roman"/>
      <w:sz w:val="24"/>
      <w:szCs w:val="24"/>
    </w:rPr>
  </w:style>
  <w:style w:type="character" w:customStyle="1" w:styleId="Internetlink">
    <w:name w:val="Internet link"/>
    <w:rPr>
      <w:rFonts w:ascii="Times New Roman" w:hAnsi="Times New Roman" w:cs="Times New Roman"/>
      <w:color w:val="0000FF"/>
      <w:u w:val="single"/>
    </w:rPr>
  </w:style>
  <w:style w:type="character" w:customStyle="1" w:styleId="Recuodecorpodetexto2Char">
    <w:name w:val="Recuo de corpo de texto 2 Char"/>
    <w:rPr>
      <w:rFonts w:ascii="Times New Roman" w:hAnsi="Times New Roman" w:cs="Times New Roman"/>
      <w:sz w:val="24"/>
      <w:szCs w:val="24"/>
    </w:rPr>
  </w:style>
  <w:style w:type="character" w:styleId="Forte">
    <w:name w:val="Strong"/>
    <w:rPr>
      <w:rFonts w:ascii="Times New Roman" w:hAnsi="Times New Roman" w:cs="Times New Roman"/>
      <w:b/>
      <w:bCs/>
    </w:rPr>
  </w:style>
  <w:style w:type="character" w:customStyle="1" w:styleId="CorpodetextoChar">
    <w:name w:val="Corpo de texto Char"/>
    <w:rPr>
      <w:rFonts w:ascii="Times New Roman" w:hAnsi="Times New Roman" w:cs="Times New Roman"/>
      <w:sz w:val="24"/>
      <w:szCs w:val="24"/>
    </w:rPr>
  </w:style>
  <w:style w:type="character" w:styleId="nfase">
    <w:name w:val="Emphasis"/>
    <w:rPr>
      <w:rFonts w:ascii="Times New Roman" w:hAnsi="Times New Roman" w:cs="Times New Roman"/>
      <w:i/>
      <w:iCs/>
    </w:rPr>
  </w:style>
  <w:style w:type="character" w:customStyle="1" w:styleId="TextodoEspaoReservado1">
    <w:name w:val="Texto do Espaço Reservado1"/>
    <w:rPr>
      <w:rFonts w:ascii="Times New Roman" w:hAnsi="Times New Roman" w:cs="Times New Roman"/>
      <w:color w:val="808080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ListLabel1">
    <w:name w:val="ListLabel 1"/>
  </w:style>
  <w:style w:type="character" w:customStyle="1" w:styleId="NumberingSymbols">
    <w:name w:val="Numbering Symbols"/>
  </w:style>
  <w:style w:type="character" w:customStyle="1" w:styleId="Fontepargpadro11">
    <w:name w:val="Fonte parág. padrão11"/>
  </w:style>
  <w:style w:type="character" w:customStyle="1" w:styleId="hps">
    <w:name w:val="hps"/>
    <w:rPr>
      <w:rFonts w:ascii="Times New Roman" w:hAnsi="Times New Roman" w:cs="Times New Roman"/>
    </w:rPr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-Caracteresdenotaderodap">
    <w:name w:val="WW-Caracteres de nota de rodapé"/>
    <w:rPr>
      <w:position w:val="0"/>
      <w:vertAlign w:val="superscript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WW-Caracteresdenotadefim">
    <w:name w:val="WW-Caracteres de nota de fim"/>
  </w:style>
  <w:style w:type="character" w:styleId="Refdenotaderodap">
    <w:name w:val="footnote reference"/>
    <w:rPr>
      <w:position w:val="0"/>
      <w:vertAlign w:val="superscript"/>
    </w:rPr>
  </w:style>
  <w:style w:type="character" w:styleId="Refdenotadefim">
    <w:name w:val="endnote reference"/>
    <w:rPr>
      <w:rFonts w:ascii="Times New Roman" w:hAnsi="Times New Roman" w:cs="Times New Roman"/>
      <w:position w:val="0"/>
      <w:vertAlign w:val="superscript"/>
    </w:rPr>
  </w:style>
  <w:style w:type="character" w:customStyle="1" w:styleId="CorpodetextoChar1">
    <w:name w:val="Corpo de texto Char1"/>
    <w:rPr>
      <w:rFonts w:ascii="Times New Roman" w:eastAsia="SimSun, 宋体" w:hAnsi="Times New Roman" w:cs="Times New Roman"/>
      <w:sz w:val="24"/>
      <w:szCs w:val="24"/>
      <w:lang w:bidi="ar-SA"/>
    </w:rPr>
  </w:style>
  <w:style w:type="character" w:customStyle="1" w:styleId="TtuloChar">
    <w:name w:val="Título Char"/>
    <w:rPr>
      <w:rFonts w:ascii="Cambria" w:hAnsi="Cambria" w:cs="Cambria"/>
      <w:b/>
      <w:bCs/>
      <w:kern w:val="3"/>
      <w:sz w:val="32"/>
      <w:szCs w:val="32"/>
      <w:lang w:bidi="ar-SA"/>
    </w:rPr>
  </w:style>
  <w:style w:type="character" w:customStyle="1" w:styleId="SubttuloChar">
    <w:name w:val="Subtítulo Char"/>
    <w:rPr>
      <w:rFonts w:ascii="Cambria" w:hAnsi="Cambria" w:cs="Cambria"/>
      <w:sz w:val="24"/>
      <w:szCs w:val="24"/>
      <w:lang w:bidi="ar-SA"/>
    </w:rPr>
  </w:style>
  <w:style w:type="character" w:customStyle="1" w:styleId="CabealhoChar1">
    <w:name w:val="Cabeçalho Char1"/>
    <w:rPr>
      <w:rFonts w:ascii="Times New Roman" w:eastAsia="SimSun, 宋体" w:hAnsi="Times New Roman" w:cs="Times New Roman"/>
      <w:sz w:val="24"/>
      <w:szCs w:val="24"/>
      <w:lang w:bidi="ar-SA"/>
    </w:rPr>
  </w:style>
  <w:style w:type="character" w:customStyle="1" w:styleId="RodapChar1">
    <w:name w:val="Rodapé Char1"/>
    <w:rPr>
      <w:rFonts w:ascii="Times New Roman" w:eastAsia="SimSun, 宋体" w:hAnsi="Times New Roman" w:cs="Times New Roman"/>
      <w:sz w:val="24"/>
      <w:szCs w:val="24"/>
      <w:lang w:bidi="ar-SA"/>
    </w:rPr>
  </w:style>
  <w:style w:type="character" w:customStyle="1" w:styleId="RecuodecorpodetextoChar1">
    <w:name w:val="Recuo de corpo de texto Char1"/>
    <w:rPr>
      <w:rFonts w:ascii="Times New Roman" w:eastAsia="SimSun, 宋体" w:hAnsi="Times New Roman" w:cs="Times New Roman"/>
      <w:sz w:val="24"/>
      <w:szCs w:val="24"/>
      <w:lang w:bidi="ar-SA"/>
    </w:rPr>
  </w:style>
  <w:style w:type="character" w:customStyle="1" w:styleId="TextodenotaderodapChar">
    <w:name w:val="Texto de nota de rodapé Char"/>
    <w:rPr>
      <w:rFonts w:ascii="Times New Roman" w:eastAsia="SimSun, 宋体" w:hAnsi="Times New Roman" w:cs="Times New Roman"/>
      <w:sz w:val="20"/>
      <w:szCs w:val="20"/>
      <w:lang w:bidi="ar-SA"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customStyle="1" w:styleId="TextodebaloChar1">
    <w:name w:val="Texto de balão Char1"/>
    <w:rPr>
      <w:rFonts w:ascii="Tahoma" w:eastAsia="SimSun, 宋体" w:hAnsi="Tahoma" w:cs="Tahoma"/>
      <w:sz w:val="16"/>
      <w:szCs w:val="16"/>
      <w:lang w:bidi="ar-SA"/>
    </w:rPr>
  </w:style>
  <w:style w:type="character" w:customStyle="1" w:styleId="Recuodecorpodetexto2Char1">
    <w:name w:val="Recuo de corpo de texto 2 Char1"/>
    <w:rPr>
      <w:rFonts w:ascii="Times New Roman" w:eastAsia="SimSun, 宋体" w:hAnsi="Times New Roman" w:cs="Times New Roman"/>
      <w:sz w:val="24"/>
      <w:szCs w:val="24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character" w:customStyle="1" w:styleId="ListLabel19">
    <w:name w:val="ListLabel 19"/>
    <w:rPr>
      <w:rFonts w:cs="Times New Roman"/>
    </w:rPr>
  </w:style>
  <w:style w:type="character" w:customStyle="1" w:styleId="ListLabel20">
    <w:name w:val="ListLabel 20"/>
    <w:rPr>
      <w:rFonts w:eastAsia="Times New Roman"/>
    </w:rPr>
  </w:style>
  <w:style w:type="character" w:customStyle="1" w:styleId="ListLabel21">
    <w:name w:val="ListLabel 21"/>
    <w:rPr>
      <w:rFonts w:cs="Times New Roman"/>
    </w:rPr>
  </w:style>
  <w:style w:type="character" w:customStyle="1" w:styleId="ListLabel22">
    <w:name w:val="ListLabel 22"/>
    <w:rPr>
      <w:rFonts w:cs="Times New Roman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cs="Times New Roman"/>
    </w:rPr>
  </w:style>
  <w:style w:type="character" w:customStyle="1" w:styleId="ListLabel27">
    <w:name w:val="ListLabel 27"/>
    <w:rPr>
      <w:rFonts w:cs="Times New Roman"/>
    </w:rPr>
  </w:style>
  <w:style w:type="character" w:customStyle="1" w:styleId="ListLabel28">
    <w:name w:val="ListLabel 28"/>
    <w:rPr>
      <w:rFonts w:cs="Times New Roman"/>
    </w:rPr>
  </w:style>
  <w:style w:type="character" w:customStyle="1" w:styleId="ListLabel29">
    <w:name w:val="ListLabel 29"/>
    <w:rPr>
      <w:rFonts w:cs="Times New Roman"/>
    </w:rPr>
  </w:style>
  <w:style w:type="character" w:customStyle="1" w:styleId="ListLabel30">
    <w:name w:val="ListLabel 30"/>
    <w:rPr>
      <w:rFonts w:cs="Times New Roman"/>
    </w:rPr>
  </w:style>
  <w:style w:type="character" w:customStyle="1" w:styleId="ListLabel31">
    <w:name w:val="ListLabel 31"/>
    <w:rPr>
      <w:rFonts w:cs="Times New Roman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Times New Roman"/>
    </w:rPr>
  </w:style>
  <w:style w:type="character" w:customStyle="1" w:styleId="ListLabel34">
    <w:name w:val="ListLabel 34"/>
    <w:rPr>
      <w:rFonts w:cs="Times New Roman"/>
    </w:rPr>
  </w:style>
  <w:style w:type="character" w:customStyle="1" w:styleId="ListLabel35">
    <w:name w:val="ListLabel 35"/>
    <w:rPr>
      <w:rFonts w:cs="Times New Roman"/>
    </w:rPr>
  </w:style>
  <w:style w:type="character" w:customStyle="1" w:styleId="ListLabel36">
    <w:name w:val="ListLabel 36"/>
    <w:rPr>
      <w:rFonts w:cs="Times New Roman"/>
    </w:rPr>
  </w:style>
  <w:style w:type="character" w:customStyle="1" w:styleId="ListLabel37">
    <w:name w:val="ListLabel 37"/>
    <w:rPr>
      <w:rFonts w:cs="Times New Roman"/>
    </w:rPr>
  </w:style>
  <w:style w:type="character" w:customStyle="1" w:styleId="ListLabel38">
    <w:name w:val="ListLabel 38"/>
    <w:rPr>
      <w:rFonts w:cs="Tahoma"/>
    </w:rPr>
  </w:style>
  <w:style w:type="character" w:customStyle="1" w:styleId="ListLabel39">
    <w:name w:val="ListLabel 39"/>
    <w:rPr>
      <w:rFonts w:cs="Times New Roman"/>
    </w:rPr>
  </w:style>
  <w:style w:type="character" w:customStyle="1" w:styleId="ListLabel40">
    <w:name w:val="ListLabel 40"/>
    <w:rPr>
      <w:rFonts w:cs="Tahoma"/>
    </w:rPr>
  </w:style>
  <w:style w:type="character" w:customStyle="1" w:styleId="ListLabel41">
    <w:name w:val="ListLabel 41"/>
    <w:rPr>
      <w:rFonts w:cs="Times New Roman"/>
    </w:rPr>
  </w:style>
  <w:style w:type="character" w:customStyle="1" w:styleId="ListLabel42">
    <w:name w:val="ListLabel 42"/>
    <w:rPr>
      <w:rFonts w:cs="Times New Roman"/>
    </w:rPr>
  </w:style>
  <w:style w:type="character" w:customStyle="1" w:styleId="ListLabel43">
    <w:name w:val="ListLabel 43"/>
    <w:rPr>
      <w:rFonts w:cs="Times New Roman"/>
    </w:rPr>
  </w:style>
  <w:style w:type="character" w:customStyle="1" w:styleId="ListLabel44">
    <w:name w:val="ListLabel 44"/>
    <w:rPr>
      <w:rFonts w:cs="Times New Roman"/>
    </w:rPr>
  </w:style>
  <w:style w:type="character" w:customStyle="1" w:styleId="ListLabel45">
    <w:name w:val="ListLabel 45"/>
    <w:rPr>
      <w:rFonts w:cs="Times New Roman"/>
    </w:rPr>
  </w:style>
  <w:style w:type="character" w:customStyle="1" w:styleId="ListLabel46">
    <w:name w:val="ListLabel 46"/>
    <w:rPr>
      <w:rFonts w:cs="Times New Roman"/>
    </w:rPr>
  </w:style>
  <w:style w:type="character" w:customStyle="1" w:styleId="Recuodecorpodetexto3Char">
    <w:name w:val="Recuo de corpo de texto 3 Char"/>
    <w:rPr>
      <w:rFonts w:eastAsia="SimSun, 宋体"/>
      <w:kern w:val="3"/>
      <w:sz w:val="16"/>
      <w:szCs w:val="16"/>
    </w:rPr>
  </w:style>
  <w:style w:type="character" w:customStyle="1" w:styleId="h1">
    <w:name w:val="h1"/>
  </w:style>
  <w:style w:type="character" w:customStyle="1" w:styleId="post-body">
    <w:name w:val="post-body"/>
  </w:style>
  <w:style w:type="character" w:customStyle="1" w:styleId="StrongEmphasis">
    <w:name w:val="Strong Emphasis"/>
    <w:rPr>
      <w:b/>
      <w:bCs/>
    </w:rPr>
  </w:style>
  <w:style w:type="character" w:customStyle="1" w:styleId="Footnoteanchor">
    <w:name w:val="Footnote anchor"/>
    <w:rPr>
      <w:position w:val="0"/>
      <w:vertAlign w:val="superscript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  <w:style w:type="numbering" w:customStyle="1" w:styleId="WW8Num8">
    <w:name w:val="WW8Num8"/>
    <w:basedOn w:val="Semlista"/>
    <w:pPr>
      <w:numPr>
        <w:numId w:val="8"/>
      </w:numPr>
    </w:pPr>
  </w:style>
  <w:style w:type="numbering" w:customStyle="1" w:styleId="WW8Num9">
    <w:name w:val="WW8Num9"/>
    <w:basedOn w:val="Semlista"/>
    <w:pPr>
      <w:numPr>
        <w:numId w:val="9"/>
      </w:numPr>
    </w:pPr>
  </w:style>
  <w:style w:type="numbering" w:customStyle="1" w:styleId="WW8Num10">
    <w:name w:val="WW8Num10"/>
    <w:basedOn w:val="Semlista"/>
    <w:pPr>
      <w:numPr>
        <w:numId w:val="10"/>
      </w:numPr>
    </w:pPr>
  </w:style>
  <w:style w:type="numbering" w:customStyle="1" w:styleId="WW8Num11">
    <w:name w:val="WW8Num11"/>
    <w:basedOn w:val="Semlista"/>
    <w:pPr>
      <w:numPr>
        <w:numId w:val="11"/>
      </w:numPr>
    </w:pPr>
  </w:style>
  <w:style w:type="numbering" w:customStyle="1" w:styleId="WW8Num12">
    <w:name w:val="WW8Num12"/>
    <w:basedOn w:val="Semlista"/>
    <w:pPr>
      <w:numPr>
        <w:numId w:val="12"/>
      </w:numPr>
    </w:pPr>
  </w:style>
  <w:style w:type="numbering" w:customStyle="1" w:styleId="WW8Num13">
    <w:name w:val="WW8Num13"/>
    <w:basedOn w:val="Semlista"/>
    <w:pPr>
      <w:numPr>
        <w:numId w:val="13"/>
      </w:numPr>
    </w:pPr>
  </w:style>
  <w:style w:type="numbering" w:customStyle="1" w:styleId="WW8Num14">
    <w:name w:val="WW8Num14"/>
    <w:basedOn w:val="Semlista"/>
    <w:pPr>
      <w:numPr>
        <w:numId w:val="14"/>
      </w:numPr>
    </w:pPr>
  </w:style>
  <w:style w:type="numbering" w:customStyle="1" w:styleId="WW8Num15">
    <w:name w:val="WW8Num15"/>
    <w:basedOn w:val="Semlista"/>
    <w:pPr>
      <w:numPr>
        <w:numId w:val="15"/>
      </w:numPr>
    </w:pPr>
  </w:style>
  <w:style w:type="numbering" w:customStyle="1" w:styleId="WW8Num16">
    <w:name w:val="WW8Num16"/>
    <w:basedOn w:val="Semlista"/>
    <w:pPr>
      <w:numPr>
        <w:numId w:val="16"/>
      </w:numPr>
    </w:pPr>
  </w:style>
  <w:style w:type="table" w:styleId="Tabelacomgrade">
    <w:name w:val="Table Grid"/>
    <w:basedOn w:val="Tabelanormal"/>
    <w:uiPriority w:val="59"/>
    <w:rsid w:val="007F64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Textbody"/>
    <w:pPr>
      <w:keepNext/>
      <w:jc w:val="both"/>
      <w:outlineLvl w:val="0"/>
    </w:pPr>
    <w:rPr>
      <w:rFonts w:ascii="Arial" w:eastAsia="Arial Unicode MS" w:hAnsi="Arial" w:cs="Arial"/>
      <w:b/>
      <w:bCs/>
      <w:sz w:val="22"/>
      <w:szCs w:val="22"/>
    </w:rPr>
  </w:style>
  <w:style w:type="paragraph" w:styleId="Ttulo2">
    <w:name w:val="heading 2"/>
    <w:basedOn w:val="Standard"/>
    <w:next w:val="Textbody"/>
    <w:pPr>
      <w:keepNext/>
      <w:spacing w:line="360" w:lineRule="auto"/>
      <w:jc w:val="center"/>
      <w:outlineLvl w:val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styleId="Ttulo3">
    <w:name w:val="heading 3"/>
    <w:basedOn w:val="Standard"/>
    <w:next w:val="Textbody"/>
    <w:pPr>
      <w:keepNext/>
      <w:jc w:val="both"/>
      <w:outlineLvl w:val="2"/>
    </w:pPr>
    <w:rPr>
      <w:rFonts w:ascii="Tahoma" w:hAnsi="Tahoma" w:cs="Tahoma"/>
      <w:b/>
      <w:bCs/>
      <w:color w:val="000000"/>
      <w:sz w:val="22"/>
      <w:szCs w:val="22"/>
    </w:rPr>
  </w:style>
  <w:style w:type="paragraph" w:styleId="Ttulo4">
    <w:name w:val="heading 4"/>
    <w:basedOn w:val="Standard"/>
    <w:next w:val="Textbody"/>
    <w:pPr>
      <w:keepNext/>
      <w:ind w:firstLine="1134"/>
      <w:jc w:val="center"/>
      <w:outlineLvl w:val="3"/>
    </w:pPr>
    <w:rPr>
      <w:rFonts w:ascii="Tahoma" w:eastAsia="Arial Unicode MS" w:hAnsi="Tahoma" w:cs="Tahoma"/>
      <w:b/>
      <w:bCs/>
    </w:rPr>
  </w:style>
  <w:style w:type="paragraph" w:styleId="Ttulo5">
    <w:name w:val="heading 5"/>
    <w:basedOn w:val="Standard"/>
    <w:next w:val="Textbody"/>
    <w:pPr>
      <w:keepNext/>
      <w:outlineLvl w:val="4"/>
    </w:pPr>
    <w:rPr>
      <w:rFonts w:ascii="Tahoma" w:eastAsia="Arial Unicode MS" w:hAnsi="Tahoma" w:cs="Tahoma"/>
      <w:b/>
      <w:bCs/>
      <w:color w:val="000000"/>
    </w:rPr>
  </w:style>
  <w:style w:type="paragraph" w:styleId="Ttulo6">
    <w:name w:val="heading 6"/>
    <w:basedOn w:val="Standard"/>
    <w:next w:val="Textbody"/>
    <w:pPr>
      <w:keepNext/>
      <w:outlineLvl w:val="5"/>
    </w:pPr>
    <w:rPr>
      <w:rFonts w:ascii="Tahoma" w:eastAsia="Arial Unicode MS" w:hAnsi="Tahoma" w:cs="Tahoma"/>
      <w:b/>
      <w:bCs/>
      <w:sz w:val="22"/>
      <w:szCs w:val="22"/>
    </w:rPr>
  </w:style>
  <w:style w:type="paragraph" w:styleId="Ttulo7">
    <w:name w:val="heading 7"/>
    <w:basedOn w:val="Standard"/>
    <w:next w:val="Textbody"/>
    <w:pPr>
      <w:keepNext/>
      <w:ind w:left="708" w:firstLine="708"/>
      <w:jc w:val="right"/>
      <w:outlineLvl w:val="6"/>
    </w:pPr>
    <w:rPr>
      <w:rFonts w:ascii="Tahoma" w:hAnsi="Tahoma" w:cs="Tahoma"/>
      <w:b/>
      <w:bCs/>
      <w:sz w:val="21"/>
      <w:szCs w:val="21"/>
      <w:u w:val="single"/>
    </w:rPr>
  </w:style>
  <w:style w:type="paragraph" w:styleId="Ttulo8">
    <w:name w:val="heading 8"/>
    <w:basedOn w:val="Standard"/>
    <w:next w:val="Textbody"/>
    <w:pPr>
      <w:keepNext/>
      <w:outlineLvl w:val="7"/>
    </w:pPr>
    <w:rPr>
      <w:rFonts w:ascii="Tahoma" w:hAnsi="Tahoma" w:cs="Tahoma"/>
      <w:b/>
      <w:bCs/>
      <w:sz w:val="21"/>
      <w:szCs w:val="21"/>
    </w:rPr>
  </w:style>
  <w:style w:type="paragraph" w:styleId="Ttulo9">
    <w:name w:val="heading 9"/>
    <w:basedOn w:val="Standard"/>
    <w:next w:val="Textbody"/>
    <w:pPr>
      <w:keepNext/>
      <w:ind w:left="708" w:firstLine="708"/>
      <w:jc w:val="right"/>
      <w:outlineLvl w:val="8"/>
    </w:pPr>
    <w:rPr>
      <w:rFonts w:ascii="Tahoma" w:hAnsi="Tahoma" w:cs="Tahoma"/>
      <w:b/>
      <w:bCs/>
      <w:sz w:val="22"/>
      <w:szCs w:val="2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SimSun, 宋体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line="360" w:lineRule="auto"/>
      <w:jc w:val="both"/>
    </w:pPr>
    <w:rPr>
      <w:rFonts w:ascii="Arial" w:hAnsi="Arial" w:cs="Arial"/>
      <w:sz w:val="22"/>
      <w:szCs w:val="22"/>
    </w:r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tulo10">
    <w:name w:val="Título1"/>
    <w:basedOn w:val="Standard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WW-Ttulo">
    <w:name w:val="WW-Título"/>
    <w:basedOn w:val="Ttulo10"/>
    <w:next w:val="Textbody"/>
  </w:style>
  <w:style w:type="paragraph" w:styleId="Subttulo">
    <w:name w:val="Subtitle"/>
    <w:basedOn w:val="Ttulo10"/>
    <w:next w:val="Textbody"/>
    <w:pPr>
      <w:jc w:val="center"/>
    </w:pPr>
    <w:rPr>
      <w:i/>
      <w:iCs/>
    </w:rPr>
  </w:style>
  <w:style w:type="paragraph" w:styleId="Cabealho">
    <w:name w:val="header"/>
    <w:basedOn w:val="Standard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Standard"/>
    <w:pPr>
      <w:suppressLineNumbers/>
      <w:tabs>
        <w:tab w:val="center" w:pos="4419"/>
        <w:tab w:val="right" w:pos="8838"/>
      </w:tabs>
    </w:pPr>
  </w:style>
  <w:style w:type="paragraph" w:customStyle="1" w:styleId="Textbodyindent">
    <w:name w:val="Text body indent"/>
    <w:basedOn w:val="Standard"/>
    <w:pPr>
      <w:spacing w:line="360" w:lineRule="auto"/>
      <w:ind w:left="1418"/>
      <w:jc w:val="both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Recuodecorpodetexto21">
    <w:name w:val="Recuo de corpo de texto 21"/>
    <w:basedOn w:val="Standard"/>
    <w:pPr>
      <w:spacing w:line="360" w:lineRule="auto"/>
      <w:ind w:firstLine="1134"/>
      <w:jc w:val="both"/>
    </w:pPr>
    <w:rPr>
      <w:rFonts w:ascii="Tahoma" w:hAnsi="Tahoma" w:cs="Tahoma"/>
      <w:sz w:val="22"/>
      <w:szCs w:val="22"/>
    </w:rPr>
  </w:style>
  <w:style w:type="paragraph" w:customStyle="1" w:styleId="Textodebalo1">
    <w:name w:val="Texto de balão1"/>
    <w:basedOn w:val="Standard"/>
    <w:rPr>
      <w:rFonts w:ascii="Tahoma" w:hAnsi="Tahoma" w:cs="Tahoma"/>
      <w:sz w:val="16"/>
      <w:szCs w:val="16"/>
    </w:rPr>
  </w:style>
  <w:style w:type="paragraph" w:customStyle="1" w:styleId="Recuodecorpodetexto31">
    <w:name w:val="Recuo de corpo de texto 31"/>
    <w:basedOn w:val="Standard"/>
    <w:pPr>
      <w:ind w:firstLine="708"/>
      <w:jc w:val="both"/>
    </w:pPr>
  </w:style>
  <w:style w:type="paragraph" w:styleId="Textodenotaderodap">
    <w:name w:val="footnote text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Recuodecorpodetexto211">
    <w:name w:val="Recuo de corpo de texto 211"/>
    <w:basedOn w:val="Standard"/>
    <w:pPr>
      <w:spacing w:line="360" w:lineRule="auto"/>
      <w:ind w:firstLine="709"/>
      <w:jc w:val="both"/>
    </w:pPr>
    <w:rPr>
      <w:rFonts w:ascii="Arial" w:hAnsi="Arial" w:cs="Arial"/>
      <w:sz w:val="22"/>
      <w:szCs w:val="22"/>
    </w:rPr>
  </w:style>
  <w:style w:type="paragraph" w:customStyle="1" w:styleId="Corpodetexto21">
    <w:name w:val="Corpo de texto 21"/>
    <w:basedOn w:val="Standard"/>
    <w:rPr>
      <w:rFonts w:ascii="Tahoma" w:hAnsi="Tahoma" w:cs="Tahoma"/>
      <w:sz w:val="22"/>
      <w:szCs w:val="22"/>
    </w:rPr>
  </w:style>
  <w:style w:type="paragraph" w:customStyle="1" w:styleId="Heading10">
    <w:name w:val="Heading 10"/>
    <w:basedOn w:val="Ttulo10"/>
    <w:next w:val="Textbody"/>
    <w:pPr>
      <w:numPr>
        <w:numId w:val="1"/>
      </w:numPr>
    </w:pPr>
    <w:rPr>
      <w:b/>
      <w:bCs/>
      <w:sz w:val="21"/>
      <w:szCs w:val="21"/>
    </w:rPr>
  </w:style>
  <w:style w:type="paragraph" w:styleId="NormalWeb">
    <w:name w:val="Normal (Web)"/>
    <w:basedOn w:val="Standard"/>
    <w:pPr>
      <w:suppressAutoHyphens w:val="0"/>
      <w:spacing w:before="280" w:after="280"/>
    </w:pPr>
    <w:rPr>
      <w:rFonts w:ascii="SimSun, 宋体" w:hAnsi="SimSun, 宋体" w:cs="SimSun, 宋体"/>
    </w:rPr>
  </w:style>
  <w:style w:type="paragraph" w:styleId="Textodebalo">
    <w:name w:val="Balloon Text"/>
    <w:basedOn w:val="Standard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Standard"/>
    <w:pPr>
      <w:suppressAutoHyphens w:val="0"/>
      <w:spacing w:line="360" w:lineRule="auto"/>
      <w:ind w:firstLine="1134"/>
      <w:jc w:val="both"/>
    </w:pPr>
    <w:rPr>
      <w:rFonts w:ascii="Tahoma" w:eastAsia="Times New Roman" w:hAnsi="Tahoma" w:cs="Tahoma"/>
      <w:sz w:val="22"/>
    </w:rPr>
  </w:style>
  <w:style w:type="paragraph" w:styleId="Corpodetexto3">
    <w:name w:val="Body Text 3"/>
    <w:basedOn w:val="Standard"/>
    <w:pPr>
      <w:tabs>
        <w:tab w:val="left" w:pos="3312"/>
      </w:tabs>
      <w:suppressAutoHyphens w:val="0"/>
      <w:jc w:val="both"/>
    </w:pPr>
    <w:rPr>
      <w:rFonts w:ascii="Tahoma" w:eastAsia="Times New Roman" w:hAnsi="Tahoma" w:cs="Tahoma"/>
    </w:rPr>
  </w:style>
  <w:style w:type="paragraph" w:styleId="TextosemFormatao">
    <w:name w:val="Plain Text"/>
    <w:basedOn w:val="Standard"/>
    <w:pPr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Footnote">
    <w:name w:val="Footnote"/>
    <w:basedOn w:val="Standard"/>
    <w:pPr>
      <w:suppressAutoHyphens w:val="0"/>
    </w:pPr>
    <w:rPr>
      <w:rFonts w:ascii="Calibri" w:eastAsia="Calibri" w:hAnsi="Calibri" w:cs="Calibri"/>
      <w:sz w:val="20"/>
      <w:szCs w:val="20"/>
      <w:lang w:val="en-US"/>
    </w:rPr>
  </w:style>
  <w:style w:type="paragraph" w:styleId="PargrafodaLista">
    <w:name w:val="List Paragraph"/>
    <w:basedOn w:val="Standard"/>
    <w:pPr>
      <w:ind w:left="708"/>
    </w:pPr>
  </w:style>
  <w:style w:type="paragraph" w:styleId="Recuodecorpodetexto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pPr>
      <w:widowControl/>
      <w:autoSpaceDE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ese">
    <w:name w:val="tese"/>
    <w:basedOn w:val="Standard"/>
    <w:next w:val="Standard"/>
    <w:pPr>
      <w:suppressAutoHyphens w:val="0"/>
      <w:autoSpaceDE w:val="0"/>
      <w:spacing w:before="120" w:after="120"/>
    </w:pPr>
    <w:rPr>
      <w:rFonts w:eastAsia="Times New Roman"/>
    </w:rPr>
  </w:style>
  <w:style w:type="paragraph" w:customStyle="1" w:styleId="msobodytex0pt">
    <w:name w:val="msobodytex.0pt"/>
    <w:basedOn w:val="Standard"/>
    <w:pPr>
      <w:suppressAutoHyphens w:val="0"/>
      <w:spacing w:before="280" w:after="280"/>
    </w:pPr>
    <w:rPr>
      <w:rFonts w:ascii="Arial Unicode MS" w:eastAsia="Arial Unicode MS" w:hAnsi="Arial Unicode MS" w:cs="Arial Unicode MS"/>
      <w:color w:val="00000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cs="Times New Roman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Symbol" w:hAnsi="Symbol" w:cs="Symbol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Garamond" w:hAnsi="Garamond" w:cs="Garamond"/>
      <w:b/>
      <w:szCs w:val="27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Courier New" w:hAnsi="Courier New" w:cs="Courier New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Times New Roman" w:hAnsi="Times New Roman" w:cs="Times New Roman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eastAsia="Times New Roman" w:hAnsi="Symbol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Ttulo1Char1">
    <w:name w:val="Título 1 Char1"/>
    <w:rPr>
      <w:rFonts w:ascii="Cambria" w:hAnsi="Cambria" w:cs="Cambria"/>
      <w:b/>
      <w:bCs/>
      <w:kern w:val="3"/>
      <w:sz w:val="32"/>
      <w:szCs w:val="32"/>
      <w:lang w:bidi="ar-SA"/>
    </w:rPr>
  </w:style>
  <w:style w:type="character" w:customStyle="1" w:styleId="Ttulo2Char1">
    <w:name w:val="Título 2 Char1"/>
    <w:rPr>
      <w:rFonts w:ascii="Cambria" w:hAnsi="Cambria" w:cs="Cambria"/>
      <w:b/>
      <w:bCs/>
      <w:i/>
      <w:iCs/>
      <w:sz w:val="28"/>
      <w:szCs w:val="28"/>
      <w:lang w:bidi="ar-SA"/>
    </w:rPr>
  </w:style>
  <w:style w:type="character" w:customStyle="1" w:styleId="Ttulo3Char1">
    <w:name w:val="Título 3 Char1"/>
    <w:rPr>
      <w:rFonts w:ascii="Cambria" w:hAnsi="Cambria" w:cs="Cambria"/>
      <w:b/>
      <w:bCs/>
      <w:sz w:val="26"/>
      <w:szCs w:val="26"/>
      <w:lang w:bidi="ar-SA"/>
    </w:rPr>
  </w:style>
  <w:style w:type="character" w:customStyle="1" w:styleId="Ttulo4Char1">
    <w:name w:val="Título 4 Char1"/>
    <w:rPr>
      <w:rFonts w:ascii="Times New Roman" w:hAnsi="Times New Roman" w:cs="Times New Roman"/>
      <w:b/>
      <w:bCs/>
      <w:sz w:val="28"/>
      <w:szCs w:val="28"/>
      <w:lang w:bidi="ar-SA"/>
    </w:rPr>
  </w:style>
  <w:style w:type="character" w:customStyle="1" w:styleId="Ttulo5Char1">
    <w:name w:val="Título 5 Char1"/>
    <w:rPr>
      <w:rFonts w:ascii="Times New Roman" w:hAnsi="Times New Roman" w:cs="Times New Roman"/>
      <w:b/>
      <w:bCs/>
      <w:i/>
      <w:iCs/>
      <w:sz w:val="26"/>
      <w:szCs w:val="26"/>
      <w:lang w:bidi="ar-SA"/>
    </w:rPr>
  </w:style>
  <w:style w:type="character" w:customStyle="1" w:styleId="Ttulo6Char1">
    <w:name w:val="Título 6 Char1"/>
    <w:rPr>
      <w:rFonts w:ascii="Times New Roman" w:hAnsi="Times New Roman" w:cs="Times New Roman"/>
      <w:b/>
      <w:bCs/>
      <w:lang w:bidi="ar-SA"/>
    </w:rPr>
  </w:style>
  <w:style w:type="character" w:customStyle="1" w:styleId="Ttulo7Char1">
    <w:name w:val="Título 7 Char1"/>
    <w:rPr>
      <w:rFonts w:ascii="Times New Roman" w:hAnsi="Times New Roman" w:cs="Times New Roman"/>
      <w:sz w:val="24"/>
      <w:szCs w:val="24"/>
      <w:lang w:bidi="ar-SA"/>
    </w:rPr>
  </w:style>
  <w:style w:type="character" w:customStyle="1" w:styleId="Ttulo8Char1">
    <w:name w:val="Título 8 Char1"/>
    <w:rPr>
      <w:rFonts w:ascii="Times New Roman" w:hAnsi="Times New Roman" w:cs="Times New Roman"/>
      <w:i/>
      <w:iCs/>
      <w:sz w:val="24"/>
      <w:szCs w:val="24"/>
      <w:lang w:bidi="ar-SA"/>
    </w:rPr>
  </w:style>
  <w:style w:type="character" w:customStyle="1" w:styleId="Ttulo9Char1">
    <w:name w:val="Título 9 Char1"/>
    <w:rPr>
      <w:rFonts w:ascii="Cambria" w:hAnsi="Cambria" w:cs="Cambria"/>
      <w:lang w:bidi="ar-SA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Fontepargpadro1">
    <w:name w:val="Fonte parág. padrão1"/>
  </w:style>
  <w:style w:type="character" w:customStyle="1" w:styleId="Ttulo1Char">
    <w:name w:val="Título 1 Char"/>
    <w:rPr>
      <w:rFonts w:ascii="Cambria" w:hAnsi="Cambria" w:cs="Cambria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hAnsi="Cambria" w:cs="Cambria"/>
      <w:b/>
      <w:bCs/>
      <w:sz w:val="26"/>
      <w:szCs w:val="26"/>
    </w:rPr>
  </w:style>
  <w:style w:type="character" w:customStyle="1" w:styleId="Ttulo4Char">
    <w:name w:val="Título 4 Char"/>
    <w:rPr>
      <w:rFonts w:ascii="Times New Roman" w:hAnsi="Times New Roman" w:cs="Times New Roman"/>
      <w:b/>
      <w:bCs/>
      <w:sz w:val="28"/>
      <w:szCs w:val="28"/>
    </w:rPr>
  </w:style>
  <w:style w:type="character" w:customStyle="1" w:styleId="Ttulo5Char">
    <w:name w:val="Título 5 Char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rFonts w:ascii="Times New Roman" w:hAnsi="Times New Roman" w:cs="Times New Roman"/>
      <w:b/>
      <w:bCs/>
    </w:rPr>
  </w:style>
  <w:style w:type="character" w:customStyle="1" w:styleId="Ttulo7Char">
    <w:name w:val="Título 7 Char"/>
    <w:rPr>
      <w:rFonts w:ascii="Times New Roman" w:hAnsi="Times New Roman" w:cs="Times New Roman"/>
      <w:sz w:val="24"/>
      <w:szCs w:val="24"/>
    </w:rPr>
  </w:style>
  <w:style w:type="character" w:customStyle="1" w:styleId="Ttulo8Char">
    <w:name w:val="Título 8 Char"/>
    <w:rPr>
      <w:rFonts w:ascii="Times New Roman" w:hAnsi="Times New Roman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hAnsi="Cambria" w:cs="Cambria"/>
    </w:rPr>
  </w:style>
  <w:style w:type="character" w:customStyle="1" w:styleId="CabealhoChar">
    <w:name w:val="Cabeçalho Char"/>
    <w:rPr>
      <w:rFonts w:ascii="Times New Roman" w:hAnsi="Times New Roman" w:cs="Times New Roman"/>
      <w:sz w:val="24"/>
      <w:szCs w:val="24"/>
    </w:rPr>
  </w:style>
  <w:style w:type="character" w:customStyle="1" w:styleId="RodapChar">
    <w:name w:val="Rodapé Char"/>
    <w:rPr>
      <w:rFonts w:ascii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rPr>
      <w:rFonts w:ascii="Times New Roman" w:hAnsi="Times New Roman" w:cs="Times New Roman"/>
      <w:sz w:val="24"/>
      <w:szCs w:val="24"/>
    </w:rPr>
  </w:style>
  <w:style w:type="character" w:customStyle="1" w:styleId="Internetlink">
    <w:name w:val="Internet link"/>
    <w:rPr>
      <w:rFonts w:ascii="Times New Roman" w:hAnsi="Times New Roman" w:cs="Times New Roman"/>
      <w:color w:val="0000FF"/>
      <w:u w:val="single"/>
    </w:rPr>
  </w:style>
  <w:style w:type="character" w:customStyle="1" w:styleId="Recuodecorpodetexto2Char">
    <w:name w:val="Recuo de corpo de texto 2 Char"/>
    <w:rPr>
      <w:rFonts w:ascii="Times New Roman" w:hAnsi="Times New Roman" w:cs="Times New Roman"/>
      <w:sz w:val="24"/>
      <w:szCs w:val="24"/>
    </w:rPr>
  </w:style>
  <w:style w:type="character" w:styleId="Forte">
    <w:name w:val="Strong"/>
    <w:rPr>
      <w:rFonts w:ascii="Times New Roman" w:hAnsi="Times New Roman" w:cs="Times New Roman"/>
      <w:b/>
      <w:bCs/>
    </w:rPr>
  </w:style>
  <w:style w:type="character" w:customStyle="1" w:styleId="CorpodetextoChar">
    <w:name w:val="Corpo de texto Char"/>
    <w:rPr>
      <w:rFonts w:ascii="Times New Roman" w:hAnsi="Times New Roman" w:cs="Times New Roman"/>
      <w:sz w:val="24"/>
      <w:szCs w:val="24"/>
    </w:rPr>
  </w:style>
  <w:style w:type="character" w:styleId="nfase">
    <w:name w:val="Emphasis"/>
    <w:rPr>
      <w:rFonts w:ascii="Times New Roman" w:hAnsi="Times New Roman" w:cs="Times New Roman"/>
      <w:i/>
      <w:iCs/>
    </w:rPr>
  </w:style>
  <w:style w:type="character" w:customStyle="1" w:styleId="TextodoEspaoReservado1">
    <w:name w:val="Texto do Espaço Reservado1"/>
    <w:rPr>
      <w:rFonts w:ascii="Times New Roman" w:hAnsi="Times New Roman" w:cs="Times New Roman"/>
      <w:color w:val="808080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ListLabel1">
    <w:name w:val="ListLabel 1"/>
  </w:style>
  <w:style w:type="character" w:customStyle="1" w:styleId="NumberingSymbols">
    <w:name w:val="Numbering Symbols"/>
  </w:style>
  <w:style w:type="character" w:customStyle="1" w:styleId="Fontepargpadro11">
    <w:name w:val="Fonte parág. padrão11"/>
  </w:style>
  <w:style w:type="character" w:customStyle="1" w:styleId="hps">
    <w:name w:val="hps"/>
    <w:rPr>
      <w:rFonts w:ascii="Times New Roman" w:hAnsi="Times New Roman" w:cs="Times New Roman"/>
    </w:rPr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-Caracteresdenotaderodap">
    <w:name w:val="WW-Caracteres de nota de rodapé"/>
    <w:rPr>
      <w:position w:val="0"/>
      <w:vertAlign w:val="superscript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WW-Caracteresdenotadefim">
    <w:name w:val="WW-Caracteres de nota de fim"/>
  </w:style>
  <w:style w:type="character" w:styleId="Refdenotaderodap">
    <w:name w:val="footnote reference"/>
    <w:rPr>
      <w:position w:val="0"/>
      <w:vertAlign w:val="superscript"/>
    </w:rPr>
  </w:style>
  <w:style w:type="character" w:styleId="Refdenotadefim">
    <w:name w:val="endnote reference"/>
    <w:rPr>
      <w:rFonts w:ascii="Times New Roman" w:hAnsi="Times New Roman" w:cs="Times New Roman"/>
      <w:position w:val="0"/>
      <w:vertAlign w:val="superscript"/>
    </w:rPr>
  </w:style>
  <w:style w:type="character" w:customStyle="1" w:styleId="CorpodetextoChar1">
    <w:name w:val="Corpo de texto Char1"/>
    <w:rPr>
      <w:rFonts w:ascii="Times New Roman" w:eastAsia="SimSun, 宋体" w:hAnsi="Times New Roman" w:cs="Times New Roman"/>
      <w:sz w:val="24"/>
      <w:szCs w:val="24"/>
      <w:lang w:bidi="ar-SA"/>
    </w:rPr>
  </w:style>
  <w:style w:type="character" w:customStyle="1" w:styleId="TtuloChar">
    <w:name w:val="Título Char"/>
    <w:rPr>
      <w:rFonts w:ascii="Cambria" w:hAnsi="Cambria" w:cs="Cambria"/>
      <w:b/>
      <w:bCs/>
      <w:kern w:val="3"/>
      <w:sz w:val="32"/>
      <w:szCs w:val="32"/>
      <w:lang w:bidi="ar-SA"/>
    </w:rPr>
  </w:style>
  <w:style w:type="character" w:customStyle="1" w:styleId="SubttuloChar">
    <w:name w:val="Subtítulo Char"/>
    <w:rPr>
      <w:rFonts w:ascii="Cambria" w:hAnsi="Cambria" w:cs="Cambria"/>
      <w:sz w:val="24"/>
      <w:szCs w:val="24"/>
      <w:lang w:bidi="ar-SA"/>
    </w:rPr>
  </w:style>
  <w:style w:type="character" w:customStyle="1" w:styleId="CabealhoChar1">
    <w:name w:val="Cabeçalho Char1"/>
    <w:rPr>
      <w:rFonts w:ascii="Times New Roman" w:eastAsia="SimSun, 宋体" w:hAnsi="Times New Roman" w:cs="Times New Roman"/>
      <w:sz w:val="24"/>
      <w:szCs w:val="24"/>
      <w:lang w:bidi="ar-SA"/>
    </w:rPr>
  </w:style>
  <w:style w:type="character" w:customStyle="1" w:styleId="RodapChar1">
    <w:name w:val="Rodapé Char1"/>
    <w:rPr>
      <w:rFonts w:ascii="Times New Roman" w:eastAsia="SimSun, 宋体" w:hAnsi="Times New Roman" w:cs="Times New Roman"/>
      <w:sz w:val="24"/>
      <w:szCs w:val="24"/>
      <w:lang w:bidi="ar-SA"/>
    </w:rPr>
  </w:style>
  <w:style w:type="character" w:customStyle="1" w:styleId="RecuodecorpodetextoChar1">
    <w:name w:val="Recuo de corpo de texto Char1"/>
    <w:rPr>
      <w:rFonts w:ascii="Times New Roman" w:eastAsia="SimSun, 宋体" w:hAnsi="Times New Roman" w:cs="Times New Roman"/>
      <w:sz w:val="24"/>
      <w:szCs w:val="24"/>
      <w:lang w:bidi="ar-SA"/>
    </w:rPr>
  </w:style>
  <w:style w:type="character" w:customStyle="1" w:styleId="TextodenotaderodapChar">
    <w:name w:val="Texto de nota de rodapé Char"/>
    <w:rPr>
      <w:rFonts w:ascii="Times New Roman" w:eastAsia="SimSun, 宋体" w:hAnsi="Times New Roman" w:cs="Times New Roman"/>
      <w:sz w:val="20"/>
      <w:szCs w:val="20"/>
      <w:lang w:bidi="ar-SA"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customStyle="1" w:styleId="TextodebaloChar1">
    <w:name w:val="Texto de balão Char1"/>
    <w:rPr>
      <w:rFonts w:ascii="Tahoma" w:eastAsia="SimSun, 宋体" w:hAnsi="Tahoma" w:cs="Tahoma"/>
      <w:sz w:val="16"/>
      <w:szCs w:val="16"/>
      <w:lang w:bidi="ar-SA"/>
    </w:rPr>
  </w:style>
  <w:style w:type="character" w:customStyle="1" w:styleId="Recuodecorpodetexto2Char1">
    <w:name w:val="Recuo de corpo de texto 2 Char1"/>
    <w:rPr>
      <w:rFonts w:ascii="Times New Roman" w:eastAsia="SimSun, 宋体" w:hAnsi="Times New Roman" w:cs="Times New Roman"/>
      <w:sz w:val="24"/>
      <w:szCs w:val="24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character" w:customStyle="1" w:styleId="ListLabel19">
    <w:name w:val="ListLabel 19"/>
    <w:rPr>
      <w:rFonts w:cs="Times New Roman"/>
    </w:rPr>
  </w:style>
  <w:style w:type="character" w:customStyle="1" w:styleId="ListLabel20">
    <w:name w:val="ListLabel 20"/>
    <w:rPr>
      <w:rFonts w:eastAsia="Times New Roman"/>
    </w:rPr>
  </w:style>
  <w:style w:type="character" w:customStyle="1" w:styleId="ListLabel21">
    <w:name w:val="ListLabel 21"/>
    <w:rPr>
      <w:rFonts w:cs="Times New Roman"/>
    </w:rPr>
  </w:style>
  <w:style w:type="character" w:customStyle="1" w:styleId="ListLabel22">
    <w:name w:val="ListLabel 22"/>
    <w:rPr>
      <w:rFonts w:cs="Times New Roman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cs="Times New Roman"/>
    </w:rPr>
  </w:style>
  <w:style w:type="character" w:customStyle="1" w:styleId="ListLabel27">
    <w:name w:val="ListLabel 27"/>
    <w:rPr>
      <w:rFonts w:cs="Times New Roman"/>
    </w:rPr>
  </w:style>
  <w:style w:type="character" w:customStyle="1" w:styleId="ListLabel28">
    <w:name w:val="ListLabel 28"/>
    <w:rPr>
      <w:rFonts w:cs="Times New Roman"/>
    </w:rPr>
  </w:style>
  <w:style w:type="character" w:customStyle="1" w:styleId="ListLabel29">
    <w:name w:val="ListLabel 29"/>
    <w:rPr>
      <w:rFonts w:cs="Times New Roman"/>
    </w:rPr>
  </w:style>
  <w:style w:type="character" w:customStyle="1" w:styleId="ListLabel30">
    <w:name w:val="ListLabel 30"/>
    <w:rPr>
      <w:rFonts w:cs="Times New Roman"/>
    </w:rPr>
  </w:style>
  <w:style w:type="character" w:customStyle="1" w:styleId="ListLabel31">
    <w:name w:val="ListLabel 31"/>
    <w:rPr>
      <w:rFonts w:cs="Times New Roman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Times New Roman"/>
    </w:rPr>
  </w:style>
  <w:style w:type="character" w:customStyle="1" w:styleId="ListLabel34">
    <w:name w:val="ListLabel 34"/>
    <w:rPr>
      <w:rFonts w:cs="Times New Roman"/>
    </w:rPr>
  </w:style>
  <w:style w:type="character" w:customStyle="1" w:styleId="ListLabel35">
    <w:name w:val="ListLabel 35"/>
    <w:rPr>
      <w:rFonts w:cs="Times New Roman"/>
    </w:rPr>
  </w:style>
  <w:style w:type="character" w:customStyle="1" w:styleId="ListLabel36">
    <w:name w:val="ListLabel 36"/>
    <w:rPr>
      <w:rFonts w:cs="Times New Roman"/>
    </w:rPr>
  </w:style>
  <w:style w:type="character" w:customStyle="1" w:styleId="ListLabel37">
    <w:name w:val="ListLabel 37"/>
    <w:rPr>
      <w:rFonts w:cs="Times New Roman"/>
    </w:rPr>
  </w:style>
  <w:style w:type="character" w:customStyle="1" w:styleId="ListLabel38">
    <w:name w:val="ListLabel 38"/>
    <w:rPr>
      <w:rFonts w:cs="Tahoma"/>
    </w:rPr>
  </w:style>
  <w:style w:type="character" w:customStyle="1" w:styleId="ListLabel39">
    <w:name w:val="ListLabel 39"/>
    <w:rPr>
      <w:rFonts w:cs="Times New Roman"/>
    </w:rPr>
  </w:style>
  <w:style w:type="character" w:customStyle="1" w:styleId="ListLabel40">
    <w:name w:val="ListLabel 40"/>
    <w:rPr>
      <w:rFonts w:cs="Tahoma"/>
    </w:rPr>
  </w:style>
  <w:style w:type="character" w:customStyle="1" w:styleId="ListLabel41">
    <w:name w:val="ListLabel 41"/>
    <w:rPr>
      <w:rFonts w:cs="Times New Roman"/>
    </w:rPr>
  </w:style>
  <w:style w:type="character" w:customStyle="1" w:styleId="ListLabel42">
    <w:name w:val="ListLabel 42"/>
    <w:rPr>
      <w:rFonts w:cs="Times New Roman"/>
    </w:rPr>
  </w:style>
  <w:style w:type="character" w:customStyle="1" w:styleId="ListLabel43">
    <w:name w:val="ListLabel 43"/>
    <w:rPr>
      <w:rFonts w:cs="Times New Roman"/>
    </w:rPr>
  </w:style>
  <w:style w:type="character" w:customStyle="1" w:styleId="ListLabel44">
    <w:name w:val="ListLabel 44"/>
    <w:rPr>
      <w:rFonts w:cs="Times New Roman"/>
    </w:rPr>
  </w:style>
  <w:style w:type="character" w:customStyle="1" w:styleId="ListLabel45">
    <w:name w:val="ListLabel 45"/>
    <w:rPr>
      <w:rFonts w:cs="Times New Roman"/>
    </w:rPr>
  </w:style>
  <w:style w:type="character" w:customStyle="1" w:styleId="ListLabel46">
    <w:name w:val="ListLabel 46"/>
    <w:rPr>
      <w:rFonts w:cs="Times New Roman"/>
    </w:rPr>
  </w:style>
  <w:style w:type="character" w:customStyle="1" w:styleId="Recuodecorpodetexto3Char">
    <w:name w:val="Recuo de corpo de texto 3 Char"/>
    <w:rPr>
      <w:rFonts w:eastAsia="SimSun, 宋体"/>
      <w:kern w:val="3"/>
      <w:sz w:val="16"/>
      <w:szCs w:val="16"/>
    </w:rPr>
  </w:style>
  <w:style w:type="character" w:customStyle="1" w:styleId="h1">
    <w:name w:val="h1"/>
  </w:style>
  <w:style w:type="character" w:customStyle="1" w:styleId="post-body">
    <w:name w:val="post-body"/>
  </w:style>
  <w:style w:type="character" w:customStyle="1" w:styleId="StrongEmphasis">
    <w:name w:val="Strong Emphasis"/>
    <w:rPr>
      <w:b/>
      <w:bCs/>
    </w:rPr>
  </w:style>
  <w:style w:type="character" w:customStyle="1" w:styleId="Footnoteanchor">
    <w:name w:val="Footnote anchor"/>
    <w:rPr>
      <w:position w:val="0"/>
      <w:vertAlign w:val="superscript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  <w:style w:type="numbering" w:customStyle="1" w:styleId="WW8Num8">
    <w:name w:val="WW8Num8"/>
    <w:basedOn w:val="Semlista"/>
    <w:pPr>
      <w:numPr>
        <w:numId w:val="8"/>
      </w:numPr>
    </w:pPr>
  </w:style>
  <w:style w:type="numbering" w:customStyle="1" w:styleId="WW8Num9">
    <w:name w:val="WW8Num9"/>
    <w:basedOn w:val="Semlista"/>
    <w:pPr>
      <w:numPr>
        <w:numId w:val="9"/>
      </w:numPr>
    </w:pPr>
  </w:style>
  <w:style w:type="numbering" w:customStyle="1" w:styleId="WW8Num10">
    <w:name w:val="WW8Num10"/>
    <w:basedOn w:val="Semlista"/>
    <w:pPr>
      <w:numPr>
        <w:numId w:val="10"/>
      </w:numPr>
    </w:pPr>
  </w:style>
  <w:style w:type="numbering" w:customStyle="1" w:styleId="WW8Num11">
    <w:name w:val="WW8Num11"/>
    <w:basedOn w:val="Semlista"/>
    <w:pPr>
      <w:numPr>
        <w:numId w:val="11"/>
      </w:numPr>
    </w:pPr>
  </w:style>
  <w:style w:type="numbering" w:customStyle="1" w:styleId="WW8Num12">
    <w:name w:val="WW8Num12"/>
    <w:basedOn w:val="Semlista"/>
    <w:pPr>
      <w:numPr>
        <w:numId w:val="12"/>
      </w:numPr>
    </w:pPr>
  </w:style>
  <w:style w:type="numbering" w:customStyle="1" w:styleId="WW8Num13">
    <w:name w:val="WW8Num13"/>
    <w:basedOn w:val="Semlista"/>
    <w:pPr>
      <w:numPr>
        <w:numId w:val="13"/>
      </w:numPr>
    </w:pPr>
  </w:style>
  <w:style w:type="numbering" w:customStyle="1" w:styleId="WW8Num14">
    <w:name w:val="WW8Num14"/>
    <w:basedOn w:val="Semlista"/>
    <w:pPr>
      <w:numPr>
        <w:numId w:val="14"/>
      </w:numPr>
    </w:pPr>
  </w:style>
  <w:style w:type="numbering" w:customStyle="1" w:styleId="WW8Num15">
    <w:name w:val="WW8Num15"/>
    <w:basedOn w:val="Semlista"/>
    <w:pPr>
      <w:numPr>
        <w:numId w:val="15"/>
      </w:numPr>
    </w:pPr>
  </w:style>
  <w:style w:type="numbering" w:customStyle="1" w:styleId="WW8Num16">
    <w:name w:val="WW8Num16"/>
    <w:basedOn w:val="Semlista"/>
    <w:pPr>
      <w:numPr>
        <w:numId w:val="16"/>
      </w:numPr>
    </w:pPr>
  </w:style>
  <w:style w:type="table" w:styleId="Tabelacomgrade">
    <w:name w:val="Table Grid"/>
    <w:basedOn w:val="Tabelanormal"/>
    <w:uiPriority w:val="59"/>
    <w:rsid w:val="007F64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EBBD3-0D4F-4469-8C32-D868B3E3D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1642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243/2008</vt:lpstr>
    </vt:vector>
  </TitlesOfParts>
  <Company>Ministério Público do Estado de Minas Gerais</Company>
  <LinksUpToDate>false</LinksUpToDate>
  <CharactersWithSpaces>10494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243/2008</dc:title>
  <dc:creator>Presidente do Conselho Deliberativo do Parque Ecológico da Serra do Lenheiro</dc:creator>
  <cp:lastModifiedBy>Andrea Lanna Mendes Novais</cp:lastModifiedBy>
  <cp:revision>2</cp:revision>
  <cp:lastPrinted>2017-09-18T22:12:00Z</cp:lastPrinted>
  <dcterms:created xsi:type="dcterms:W3CDTF">2017-09-18T22:13:00Z</dcterms:created>
  <dcterms:modified xsi:type="dcterms:W3CDTF">2017-09-18T22:13:00Z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Procuradoria Geral de Justiça de MG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