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BD" w:rsidRPr="00222120" w:rsidRDefault="00EB2337">
      <w:pPr>
        <w:pStyle w:val="Ttulo3"/>
        <w:spacing w:line="276" w:lineRule="auto"/>
        <w:ind w:left="1080"/>
        <w:jc w:val="center"/>
        <w:rPr>
          <w:rFonts w:ascii="Garamond" w:hAnsi="Garamond" w:cs="Garamond"/>
          <w:sz w:val="24"/>
        </w:rPr>
      </w:pPr>
      <w:r w:rsidRPr="00222120">
        <w:rPr>
          <w:rFonts w:ascii="Garamond" w:hAnsi="Garamond" w:cs="Garamond"/>
          <w:sz w:val="24"/>
        </w:rPr>
        <w:t>NOTA TÉCNICA N º</w:t>
      </w:r>
      <w:r w:rsidR="000D27C0">
        <w:rPr>
          <w:rFonts w:ascii="Garamond" w:hAnsi="Garamond" w:cs="Garamond"/>
          <w:sz w:val="24"/>
        </w:rPr>
        <w:t xml:space="preserve"> 41/2017</w:t>
      </w:r>
    </w:p>
    <w:p w:rsidR="002B14BD" w:rsidRPr="00222120" w:rsidRDefault="002B14BD">
      <w:pPr>
        <w:pStyle w:val="Standard"/>
        <w:spacing w:line="276" w:lineRule="auto"/>
        <w:jc w:val="center"/>
        <w:rPr>
          <w:rFonts w:ascii="Garamond" w:hAnsi="Garamond" w:cs="Garamond"/>
        </w:rPr>
      </w:pPr>
    </w:p>
    <w:p w:rsidR="002B14BD" w:rsidRPr="00222120" w:rsidRDefault="00222120">
      <w:pPr>
        <w:pStyle w:val="TableHeading"/>
        <w:suppressLineNumbers w:val="0"/>
        <w:spacing w:line="276" w:lineRule="auto"/>
        <w:rPr>
          <w:rFonts w:ascii="Garamond" w:hAnsi="Garamond" w:cs="Garamond"/>
        </w:rPr>
      </w:pPr>
      <w:proofErr w:type="spellStart"/>
      <w:r w:rsidRPr="00222120">
        <w:rPr>
          <w:rFonts w:ascii="Garamond" w:hAnsi="Garamond" w:cs="Garamond"/>
        </w:rPr>
        <w:t>Ref</w:t>
      </w:r>
      <w:proofErr w:type="spellEnd"/>
      <w:r w:rsidRPr="00222120">
        <w:rPr>
          <w:rFonts w:ascii="Garamond" w:hAnsi="Garamond" w:cs="Garamond"/>
        </w:rPr>
        <w:t xml:space="preserve">: </w:t>
      </w:r>
      <w:r w:rsidR="00EB2337" w:rsidRPr="00222120">
        <w:rPr>
          <w:rFonts w:ascii="Garamond" w:hAnsi="Garamond" w:cs="Garamond"/>
        </w:rPr>
        <w:t>Inquérito Civil 0480.17.000171-7</w:t>
      </w:r>
      <w:r w:rsidRPr="00222120">
        <w:rPr>
          <w:rFonts w:ascii="Garamond" w:hAnsi="Garamond" w:cs="Garamond"/>
        </w:rPr>
        <w:t xml:space="preserve"> e PAAF 0024.17.008359-6</w:t>
      </w:r>
    </w:p>
    <w:p w:rsidR="002B14BD" w:rsidRPr="00222120" w:rsidRDefault="002B14BD">
      <w:pPr>
        <w:pStyle w:val="Standard"/>
        <w:spacing w:line="276" w:lineRule="auto"/>
        <w:jc w:val="both"/>
        <w:rPr>
          <w:rFonts w:ascii="Garamond" w:hAnsi="Garamond" w:cs="Garamond"/>
          <w:b/>
          <w:bCs/>
        </w:rPr>
      </w:pPr>
    </w:p>
    <w:p w:rsidR="00222120" w:rsidRPr="00222120" w:rsidRDefault="00EB2337" w:rsidP="00222120">
      <w:pPr>
        <w:pStyle w:val="Standard"/>
        <w:numPr>
          <w:ilvl w:val="0"/>
          <w:numId w:val="5"/>
        </w:numPr>
        <w:spacing w:line="276" w:lineRule="auto"/>
        <w:jc w:val="both"/>
        <w:rPr>
          <w:rFonts w:ascii="Garamond" w:hAnsi="Garamond"/>
        </w:rPr>
      </w:pPr>
      <w:r w:rsidRPr="00222120">
        <w:rPr>
          <w:rFonts w:ascii="Garamond" w:hAnsi="Garamond" w:cs="Garamond"/>
          <w:b/>
          <w:bCs/>
        </w:rPr>
        <w:t xml:space="preserve">Objeto: </w:t>
      </w:r>
      <w:r w:rsidRPr="00222120">
        <w:rPr>
          <w:rFonts w:ascii="Garamond" w:hAnsi="Garamond" w:cs="Garamond"/>
        </w:rPr>
        <w:t>Casa de Saúde e Maternidade Nossa Senhora de Fátima</w:t>
      </w:r>
    </w:p>
    <w:p w:rsidR="00222120" w:rsidRPr="00222120" w:rsidRDefault="00222120" w:rsidP="00222120">
      <w:pPr>
        <w:pStyle w:val="Standard"/>
        <w:spacing w:line="276" w:lineRule="auto"/>
        <w:jc w:val="both"/>
        <w:rPr>
          <w:rFonts w:ascii="Garamond" w:hAnsi="Garamond"/>
        </w:rPr>
      </w:pPr>
      <w:bookmarkStart w:id="0" w:name="_GoBack"/>
      <w:bookmarkEnd w:id="0"/>
    </w:p>
    <w:p w:rsidR="00222120" w:rsidRPr="00222120" w:rsidRDefault="00222120">
      <w:pPr>
        <w:pStyle w:val="Standard"/>
        <w:numPr>
          <w:ilvl w:val="0"/>
          <w:numId w:val="5"/>
        </w:numPr>
        <w:spacing w:line="276" w:lineRule="auto"/>
        <w:jc w:val="both"/>
        <w:rPr>
          <w:rFonts w:ascii="Garamond" w:hAnsi="Garamond"/>
        </w:rPr>
      </w:pPr>
      <w:r w:rsidRPr="00222120">
        <w:rPr>
          <w:rFonts w:ascii="Garamond" w:hAnsi="Garamond" w:cs="Garamond"/>
          <w:b/>
          <w:bCs/>
        </w:rPr>
        <w:t>Endereço:</w:t>
      </w:r>
      <w:r w:rsidRPr="00222120">
        <w:rPr>
          <w:rFonts w:ascii="Garamond" w:hAnsi="Garamond"/>
        </w:rPr>
        <w:t xml:space="preserve"> Rua Padre Caldeira nº 386.</w:t>
      </w:r>
    </w:p>
    <w:p w:rsidR="002B14BD" w:rsidRPr="00222120" w:rsidRDefault="002B14BD">
      <w:pPr>
        <w:pStyle w:val="Standard"/>
        <w:spacing w:line="276" w:lineRule="auto"/>
        <w:ind w:left="360"/>
        <w:jc w:val="both"/>
        <w:rPr>
          <w:rFonts w:ascii="Garamond" w:hAnsi="Garamond" w:cs="Garamond"/>
          <w:b/>
          <w:bCs/>
        </w:rPr>
      </w:pPr>
    </w:p>
    <w:p w:rsidR="002B14BD" w:rsidRPr="00222120" w:rsidRDefault="00EB2337">
      <w:pPr>
        <w:pStyle w:val="Standard"/>
        <w:numPr>
          <w:ilvl w:val="0"/>
          <w:numId w:val="4"/>
        </w:numPr>
        <w:spacing w:line="276" w:lineRule="auto"/>
        <w:jc w:val="both"/>
        <w:rPr>
          <w:rFonts w:ascii="Garamond" w:hAnsi="Garamond"/>
        </w:rPr>
      </w:pPr>
      <w:r w:rsidRPr="00222120">
        <w:rPr>
          <w:rFonts w:ascii="Garamond" w:hAnsi="Garamond" w:cs="Garamond"/>
          <w:b/>
          <w:bCs/>
        </w:rPr>
        <w:t xml:space="preserve">Município: </w:t>
      </w:r>
      <w:r w:rsidRPr="00222120">
        <w:rPr>
          <w:rFonts w:ascii="Garamond" w:hAnsi="Garamond" w:cs="Garamond"/>
        </w:rPr>
        <w:t>Patos de Minas</w:t>
      </w:r>
    </w:p>
    <w:p w:rsidR="002B14BD" w:rsidRPr="00222120" w:rsidRDefault="002B14BD">
      <w:pPr>
        <w:pStyle w:val="Standard"/>
        <w:spacing w:line="276" w:lineRule="auto"/>
        <w:jc w:val="both"/>
        <w:rPr>
          <w:rFonts w:ascii="Garamond" w:hAnsi="Garamond" w:cs="Garamond"/>
          <w:b/>
          <w:bCs/>
        </w:rPr>
      </w:pPr>
    </w:p>
    <w:p w:rsidR="002B14BD" w:rsidRPr="00222120" w:rsidRDefault="00EB2337">
      <w:pPr>
        <w:pStyle w:val="Standard"/>
        <w:numPr>
          <w:ilvl w:val="0"/>
          <w:numId w:val="4"/>
        </w:numPr>
        <w:spacing w:line="276" w:lineRule="auto"/>
        <w:jc w:val="both"/>
        <w:rPr>
          <w:rFonts w:ascii="Garamond" w:hAnsi="Garamond"/>
        </w:rPr>
      </w:pPr>
      <w:r w:rsidRPr="00222120">
        <w:rPr>
          <w:rFonts w:ascii="Garamond" w:hAnsi="Garamond" w:cs="Garamond"/>
          <w:b/>
          <w:bCs/>
        </w:rPr>
        <w:t xml:space="preserve">Proprietário: </w:t>
      </w:r>
      <w:r w:rsidRPr="00222120">
        <w:rPr>
          <w:rFonts w:ascii="Garamond" w:hAnsi="Garamond" w:cs="Garamond"/>
        </w:rPr>
        <w:t>Casa de Saúde e Maternidade Nossa Senhora de Fátima</w:t>
      </w:r>
      <w:proofErr w:type="gramStart"/>
      <w:r w:rsidRPr="00222120">
        <w:rPr>
          <w:rFonts w:ascii="Garamond" w:hAnsi="Garamond" w:cs="Garamond"/>
        </w:rPr>
        <w:t xml:space="preserve">  </w:t>
      </w:r>
      <w:proofErr w:type="gramEnd"/>
      <w:r w:rsidRPr="00222120">
        <w:rPr>
          <w:rFonts w:ascii="Garamond" w:hAnsi="Garamond" w:cs="Garamond"/>
        </w:rPr>
        <w:t>S/A</w:t>
      </w:r>
      <w:r w:rsidR="00222120" w:rsidRPr="00222120">
        <w:rPr>
          <w:rFonts w:ascii="Garamond" w:hAnsi="Garamond" w:cs="Garamond"/>
        </w:rPr>
        <w:t>.</w:t>
      </w:r>
    </w:p>
    <w:p w:rsidR="00222120" w:rsidRPr="00222120" w:rsidRDefault="00222120" w:rsidP="00222120">
      <w:pPr>
        <w:pStyle w:val="PargrafodaLista"/>
        <w:rPr>
          <w:rFonts w:ascii="Garamond" w:hAnsi="Garamond"/>
        </w:rPr>
      </w:pPr>
    </w:p>
    <w:p w:rsidR="00222120" w:rsidRPr="00222120" w:rsidRDefault="00222120">
      <w:pPr>
        <w:pStyle w:val="Standard"/>
        <w:numPr>
          <w:ilvl w:val="0"/>
          <w:numId w:val="4"/>
        </w:numPr>
        <w:spacing w:line="276" w:lineRule="auto"/>
        <w:jc w:val="both"/>
        <w:rPr>
          <w:rFonts w:ascii="Garamond" w:hAnsi="Garamond"/>
        </w:rPr>
      </w:pPr>
      <w:r w:rsidRPr="00222120">
        <w:rPr>
          <w:rFonts w:ascii="Garamond" w:hAnsi="Garamond"/>
          <w:b/>
        </w:rPr>
        <w:t>Proteção existente</w:t>
      </w:r>
      <w:r w:rsidRPr="00222120">
        <w:rPr>
          <w:rFonts w:ascii="Garamond" w:hAnsi="Garamond"/>
        </w:rPr>
        <w:t>: Inventário.</w:t>
      </w:r>
    </w:p>
    <w:p w:rsidR="002B14BD" w:rsidRPr="00222120" w:rsidRDefault="002B14BD">
      <w:pPr>
        <w:pStyle w:val="Standard"/>
        <w:spacing w:line="276" w:lineRule="auto"/>
        <w:jc w:val="both"/>
        <w:rPr>
          <w:rFonts w:ascii="Garamond" w:hAnsi="Garamond" w:cs="Garamond"/>
          <w:b/>
          <w:bCs/>
        </w:rPr>
      </w:pPr>
    </w:p>
    <w:p w:rsidR="002B14BD" w:rsidRPr="00222120" w:rsidRDefault="00EB2337">
      <w:pPr>
        <w:pStyle w:val="Standard"/>
        <w:numPr>
          <w:ilvl w:val="0"/>
          <w:numId w:val="4"/>
        </w:numPr>
        <w:spacing w:line="276" w:lineRule="auto"/>
        <w:jc w:val="both"/>
        <w:rPr>
          <w:rFonts w:ascii="Garamond" w:hAnsi="Garamond" w:cs="Garamond"/>
          <w:b/>
          <w:bCs/>
        </w:rPr>
      </w:pPr>
      <w:r w:rsidRPr="00222120">
        <w:rPr>
          <w:rFonts w:ascii="Garamond" w:hAnsi="Garamond" w:cs="Garamond"/>
          <w:b/>
          <w:bCs/>
        </w:rPr>
        <w:t>Considerações preliminares:</w:t>
      </w:r>
    </w:p>
    <w:p w:rsidR="002B14BD" w:rsidRPr="00222120" w:rsidRDefault="002B14BD">
      <w:pPr>
        <w:pStyle w:val="Standard"/>
        <w:spacing w:line="276" w:lineRule="auto"/>
        <w:ind w:right="68" w:firstLine="709"/>
        <w:jc w:val="both"/>
        <w:rPr>
          <w:rFonts w:ascii="Garamond" w:hAnsi="Garamond" w:cs="Garamond"/>
        </w:rPr>
      </w:pPr>
    </w:p>
    <w:p w:rsidR="002B14BD" w:rsidRPr="00222120" w:rsidRDefault="00EB2337">
      <w:pPr>
        <w:pStyle w:val="Standard"/>
        <w:spacing w:line="276" w:lineRule="auto"/>
        <w:ind w:right="68" w:firstLine="709"/>
        <w:jc w:val="both"/>
        <w:rPr>
          <w:rFonts w:ascii="Garamond" w:hAnsi="Garamond" w:cs="Garamond"/>
        </w:rPr>
      </w:pPr>
      <w:r w:rsidRPr="00222120">
        <w:rPr>
          <w:rFonts w:ascii="Garamond" w:hAnsi="Garamond" w:cs="Garamond"/>
        </w:rPr>
        <w:t>Em 15 de fevereiro de 2017, o Conselho Deliberativo Municipal do Patrimônio Histórico e Cultural de Patos de Minas (CONDEPAHC), encaminhou ofício</w:t>
      </w:r>
      <w:r w:rsidRPr="00222120">
        <w:rPr>
          <w:rStyle w:val="Refdenotaderodap"/>
          <w:rFonts w:ascii="Garamond" w:hAnsi="Garamond" w:cs="Garamond"/>
        </w:rPr>
        <w:footnoteReference w:id="1"/>
      </w:r>
      <w:r w:rsidRPr="00222120">
        <w:rPr>
          <w:rFonts w:ascii="Garamond" w:hAnsi="Garamond" w:cs="Garamond"/>
        </w:rPr>
        <w:t xml:space="preserve"> à Promotora de Justiça da Comarca de Patos de Minas, Dr. Vanessa </w:t>
      </w:r>
      <w:proofErr w:type="spellStart"/>
      <w:r w:rsidRPr="00222120">
        <w:rPr>
          <w:rFonts w:ascii="Garamond" w:hAnsi="Garamond" w:cs="Garamond"/>
        </w:rPr>
        <w:t>Dosualdo</w:t>
      </w:r>
      <w:proofErr w:type="spellEnd"/>
      <w:r w:rsidRPr="00222120">
        <w:rPr>
          <w:rFonts w:ascii="Garamond" w:hAnsi="Garamond" w:cs="Garamond"/>
        </w:rPr>
        <w:t xml:space="preserve"> de Freitas, informando a re</w:t>
      </w:r>
      <w:r w:rsidR="00222120">
        <w:rPr>
          <w:rFonts w:ascii="Garamond" w:hAnsi="Garamond" w:cs="Garamond"/>
        </w:rPr>
        <w:t>s</w:t>
      </w:r>
      <w:r w:rsidRPr="00222120">
        <w:rPr>
          <w:rFonts w:ascii="Garamond" w:hAnsi="Garamond" w:cs="Garamond"/>
        </w:rPr>
        <w:t xml:space="preserve">peito da realização de obras irregulares na edificação situada na Avenida Padre Caldeira, 386, a Casa de Saúde e Maternidade Nossa Senhora de Fátima, </w:t>
      </w:r>
      <w:r w:rsidR="00222120">
        <w:rPr>
          <w:rFonts w:ascii="Garamond" w:hAnsi="Garamond" w:cs="Garamond"/>
        </w:rPr>
        <w:t xml:space="preserve">bem cultural </w:t>
      </w:r>
      <w:r w:rsidRPr="00222120">
        <w:rPr>
          <w:rFonts w:ascii="Garamond" w:hAnsi="Garamond" w:cs="Garamond"/>
        </w:rPr>
        <w:t>constante no rol de inventários do município. De acordo com o documento as obras estavam acontecendo sem apresentação de projeto para análise e eventual aprovação do conselho, nem do setor responsável da prefeitura, sem Alvará de Licença pra Modificação e Construção de Acréscimo.</w:t>
      </w:r>
    </w:p>
    <w:p w:rsidR="002B14BD" w:rsidRPr="00222120" w:rsidRDefault="002B14BD">
      <w:pPr>
        <w:pStyle w:val="Standard"/>
        <w:spacing w:line="276" w:lineRule="auto"/>
        <w:ind w:right="68" w:firstLine="709"/>
        <w:jc w:val="both"/>
        <w:rPr>
          <w:rFonts w:ascii="Garamond" w:hAnsi="Garamond" w:cs="Garamond"/>
        </w:rPr>
      </w:pPr>
    </w:p>
    <w:p w:rsidR="002B14BD" w:rsidRPr="00222120" w:rsidRDefault="00EB2337">
      <w:pPr>
        <w:pStyle w:val="Standard"/>
        <w:spacing w:line="276" w:lineRule="auto"/>
        <w:ind w:right="68" w:firstLine="709"/>
        <w:jc w:val="both"/>
        <w:rPr>
          <w:rFonts w:ascii="Garamond" w:hAnsi="Garamond" w:cs="Garamond"/>
        </w:rPr>
      </w:pPr>
      <w:r w:rsidRPr="00222120">
        <w:rPr>
          <w:rFonts w:ascii="Garamond" w:hAnsi="Garamond" w:cs="Garamond"/>
        </w:rPr>
        <w:t xml:space="preserve">Em 03 de março do mesmo ano, foi instaurado pela promotora Vanessa </w:t>
      </w:r>
      <w:proofErr w:type="spellStart"/>
      <w:r w:rsidRPr="00222120">
        <w:rPr>
          <w:rFonts w:ascii="Garamond" w:hAnsi="Garamond" w:cs="Garamond"/>
        </w:rPr>
        <w:t>Dos</w:t>
      </w:r>
      <w:r w:rsidR="001E4BD0">
        <w:rPr>
          <w:rFonts w:ascii="Garamond" w:hAnsi="Garamond" w:cs="Garamond"/>
        </w:rPr>
        <w:t>u</w:t>
      </w:r>
      <w:r w:rsidRPr="00222120">
        <w:rPr>
          <w:rFonts w:ascii="Garamond" w:hAnsi="Garamond" w:cs="Garamond"/>
        </w:rPr>
        <w:t>aldo</w:t>
      </w:r>
      <w:proofErr w:type="spellEnd"/>
      <w:r w:rsidRPr="00222120">
        <w:rPr>
          <w:rFonts w:ascii="Garamond" w:hAnsi="Garamond" w:cs="Garamond"/>
        </w:rPr>
        <w:t xml:space="preserve"> Freitas, da 3ª Promotoria de Justiça da Comarca de Patos de Minas, o Inquérito Civil MPMG 0480.17.000171-7, visando</w:t>
      </w:r>
      <w:r w:rsidR="00722845">
        <w:rPr>
          <w:rFonts w:ascii="Garamond" w:hAnsi="Garamond" w:cs="Garamond"/>
        </w:rPr>
        <w:t xml:space="preserve"> a</w:t>
      </w:r>
      <w:r w:rsidRPr="00222120">
        <w:rPr>
          <w:rFonts w:ascii="Garamond" w:hAnsi="Garamond" w:cs="Garamond"/>
        </w:rPr>
        <w:t xml:space="preserve"> “apurar dano causado ao patrimônio histórico e cultural de Patos de Minas, no que concerne a intervenção física (reforma) da fachada do prédio inventariado pelo Patrimônio Histórico”.</w:t>
      </w:r>
    </w:p>
    <w:p w:rsidR="002B14BD" w:rsidRPr="00222120" w:rsidRDefault="002B14BD">
      <w:pPr>
        <w:pStyle w:val="Standard"/>
        <w:spacing w:line="276" w:lineRule="auto"/>
        <w:ind w:right="68" w:firstLine="709"/>
        <w:jc w:val="both"/>
        <w:rPr>
          <w:rFonts w:ascii="Garamond" w:hAnsi="Garamond" w:cs="Garamond"/>
        </w:rPr>
      </w:pPr>
    </w:p>
    <w:p w:rsidR="002B14BD" w:rsidRPr="00222120" w:rsidRDefault="00EB2337">
      <w:pPr>
        <w:pStyle w:val="Standard"/>
        <w:spacing w:line="276" w:lineRule="auto"/>
        <w:ind w:right="68" w:firstLine="709"/>
        <w:jc w:val="both"/>
        <w:rPr>
          <w:rFonts w:ascii="Garamond" w:hAnsi="Garamond"/>
        </w:rPr>
      </w:pPr>
      <w:r w:rsidRPr="00222120">
        <w:rPr>
          <w:rFonts w:ascii="Garamond" w:hAnsi="Garamond" w:cs="Garamond"/>
        </w:rPr>
        <w:t>Em 13 de março, foi elaborado Laudo Técnico</w:t>
      </w:r>
      <w:r w:rsidRPr="00222120">
        <w:rPr>
          <w:rStyle w:val="Refdenotaderodap"/>
          <w:rFonts w:ascii="Garamond" w:hAnsi="Garamond" w:cs="Garamond"/>
        </w:rPr>
        <w:footnoteReference w:id="2"/>
      </w:r>
      <w:r w:rsidRPr="00222120">
        <w:rPr>
          <w:rFonts w:ascii="Garamond" w:hAnsi="Garamond" w:cs="Garamond"/>
        </w:rPr>
        <w:t xml:space="preserve"> pelos engenheiros Rafael Sousa Bernardes e Thiago Augusto Silva Ribeiro, com a finalidade de justificar as obras na parte frontal do imóvel que questão. O laudo, embasado em vistoria realizada no dia 10 de março de 2017, informa que na</w:t>
      </w:r>
      <w:r w:rsidR="00222120">
        <w:rPr>
          <w:rFonts w:ascii="Garamond" w:hAnsi="Garamond" w:cs="Garamond"/>
        </w:rPr>
        <w:t>quela</w:t>
      </w:r>
      <w:r w:rsidRPr="00222120">
        <w:rPr>
          <w:rFonts w:ascii="Garamond" w:hAnsi="Garamond" w:cs="Garamond"/>
        </w:rPr>
        <w:t xml:space="preserve"> data a obra se encontrava em fase de escavações e movimentação de terra, e o Projeto de Ampliação aguardava aprovação do setor de Planejamento Urbano da Prefeitura Municipal de Patos de Minas. O estudo afirma que as modificações em andamento são essencialmente preventivas, e conclui que dados os alagamentos que a edificação está sujeita, como demonstrado no registro fotográfico, por </w:t>
      </w:r>
      <w:r w:rsidRPr="00222120">
        <w:rPr>
          <w:rFonts w:ascii="Garamond" w:hAnsi="Garamond" w:cs="Garamond"/>
        </w:rPr>
        <w:lastRenderedPageBreak/>
        <w:t>se encontrar a 2,00 (dois) metros abaixo do nível da rua, “faz se necessário uma intervenção acauteladora e emergencial no âmbito de desviar as águas provenientes de chuvas e do logradouro”.</w:t>
      </w:r>
    </w:p>
    <w:p w:rsidR="002B14BD" w:rsidRPr="00222120" w:rsidRDefault="002B14BD">
      <w:pPr>
        <w:pStyle w:val="Standard"/>
        <w:spacing w:line="276" w:lineRule="auto"/>
        <w:ind w:right="68" w:firstLine="709"/>
        <w:jc w:val="both"/>
        <w:rPr>
          <w:rFonts w:ascii="Garamond" w:hAnsi="Garamond" w:cs="Garamond"/>
        </w:rPr>
      </w:pPr>
    </w:p>
    <w:p w:rsidR="002B14BD" w:rsidRDefault="00EB2337">
      <w:pPr>
        <w:pStyle w:val="Standard"/>
        <w:spacing w:line="276" w:lineRule="auto"/>
        <w:ind w:right="68" w:firstLine="709"/>
        <w:jc w:val="both"/>
        <w:rPr>
          <w:rFonts w:ascii="Garamond" w:hAnsi="Garamond" w:cs="Garamond"/>
        </w:rPr>
      </w:pPr>
      <w:r w:rsidRPr="00222120">
        <w:rPr>
          <w:rFonts w:ascii="Garamond" w:hAnsi="Garamond" w:cs="Garamond"/>
        </w:rPr>
        <w:t xml:space="preserve">Em 24 de março, o Diretor Presidente, Guilherme Mendonça </w:t>
      </w:r>
      <w:r w:rsidR="00222120">
        <w:rPr>
          <w:rFonts w:ascii="Garamond" w:hAnsi="Garamond" w:cs="Garamond"/>
        </w:rPr>
        <w:t>d</w:t>
      </w:r>
      <w:r w:rsidRPr="00222120">
        <w:rPr>
          <w:rFonts w:ascii="Garamond" w:hAnsi="Garamond" w:cs="Garamond"/>
        </w:rPr>
        <w:t>e Resende, em nome da Casa Saúde e Maternidade Nossa Senhora de Fátima S/A, encaminhou à 3ª Promotoria de Justiça da Comarca de Patos de Minas, ofício</w:t>
      </w:r>
      <w:r w:rsidRPr="00222120">
        <w:rPr>
          <w:rStyle w:val="Refdenotaderodap"/>
          <w:rFonts w:ascii="Garamond" w:hAnsi="Garamond" w:cs="Garamond"/>
        </w:rPr>
        <w:footnoteReference w:id="3"/>
      </w:r>
      <w:r w:rsidRPr="00222120">
        <w:rPr>
          <w:rFonts w:ascii="Garamond" w:hAnsi="Garamond" w:cs="Garamond"/>
        </w:rPr>
        <w:t xml:space="preserve"> esclarecendo que foi protocolado em 10/02/2017 o Projeto de Obra para o imóvel na Prefeitura Municipal, e em 07/03/2017 no CONDEPAHC, buscando parecer e expedição do Alvará para a realização das Obras. No ofício, o representante alega também que se viu obrigado a realizar as obras em virtude das infiltrações e alagamentos que o Pronto Socorro e consultório</w:t>
      </w:r>
      <w:r w:rsidR="00222120">
        <w:rPr>
          <w:rFonts w:ascii="Garamond" w:hAnsi="Garamond" w:cs="Garamond"/>
        </w:rPr>
        <w:t>s estavam sujeitos, assim como o</w:t>
      </w:r>
      <w:r w:rsidRPr="00222120">
        <w:rPr>
          <w:rFonts w:ascii="Garamond" w:hAnsi="Garamond" w:cs="Garamond"/>
        </w:rPr>
        <w:t xml:space="preserve"> possível risco de deslizamentos. Foi encaminhado também, na mesma data os seguintes anexos:</w:t>
      </w:r>
    </w:p>
    <w:p w:rsidR="00ED18AE" w:rsidRPr="00222120" w:rsidRDefault="00ED18AE">
      <w:pPr>
        <w:pStyle w:val="Standard"/>
        <w:spacing w:line="276" w:lineRule="auto"/>
        <w:ind w:right="68" w:firstLine="709"/>
        <w:jc w:val="both"/>
        <w:rPr>
          <w:rFonts w:ascii="Garamond" w:hAnsi="Garamond"/>
        </w:rPr>
      </w:pPr>
    </w:p>
    <w:p w:rsidR="002B14BD" w:rsidRPr="00222120" w:rsidRDefault="00EB2337">
      <w:pPr>
        <w:pStyle w:val="Standard"/>
        <w:numPr>
          <w:ilvl w:val="2"/>
          <w:numId w:val="6"/>
        </w:numPr>
        <w:spacing w:line="276" w:lineRule="auto"/>
        <w:ind w:right="68" w:firstLine="709"/>
        <w:jc w:val="both"/>
        <w:rPr>
          <w:rFonts w:ascii="Garamond" w:hAnsi="Garamond" w:cs="Garamond"/>
        </w:rPr>
      </w:pPr>
      <w:r w:rsidRPr="00222120">
        <w:rPr>
          <w:rFonts w:ascii="Garamond" w:hAnsi="Garamond" w:cs="Garamond"/>
        </w:rPr>
        <w:t>Projeto das Fundações, que sinaliza as contenções a serem realizadas;</w:t>
      </w:r>
    </w:p>
    <w:p w:rsidR="002B14BD" w:rsidRPr="00222120" w:rsidRDefault="00EB2337">
      <w:pPr>
        <w:pStyle w:val="Standard"/>
        <w:numPr>
          <w:ilvl w:val="2"/>
          <w:numId w:val="6"/>
        </w:numPr>
        <w:spacing w:line="276" w:lineRule="auto"/>
        <w:ind w:right="68" w:firstLine="709"/>
        <w:jc w:val="both"/>
        <w:rPr>
          <w:rFonts w:ascii="Garamond" w:hAnsi="Garamond" w:cs="Garamond"/>
        </w:rPr>
      </w:pPr>
      <w:r w:rsidRPr="00222120">
        <w:rPr>
          <w:rFonts w:ascii="Garamond" w:hAnsi="Garamond" w:cs="Garamond"/>
        </w:rPr>
        <w:t>Projeto de Modificação com Acréscimo, que demonstra o projeto arquitetônico com a sinalização da contenção que deverá ser edificada;</w:t>
      </w:r>
    </w:p>
    <w:p w:rsidR="002B14BD" w:rsidRPr="00222120" w:rsidRDefault="00EB2337">
      <w:pPr>
        <w:pStyle w:val="Standard"/>
        <w:numPr>
          <w:ilvl w:val="2"/>
          <w:numId w:val="6"/>
        </w:numPr>
        <w:spacing w:line="276" w:lineRule="auto"/>
        <w:ind w:right="68" w:firstLine="709"/>
        <w:jc w:val="both"/>
        <w:rPr>
          <w:rFonts w:ascii="Garamond" w:hAnsi="Garamond" w:cs="Garamond"/>
        </w:rPr>
      </w:pPr>
      <w:r w:rsidRPr="00222120">
        <w:rPr>
          <w:rFonts w:ascii="Garamond" w:hAnsi="Garamond" w:cs="Garamond"/>
        </w:rPr>
        <w:t>Projeto Total de Modificação com Acréscimo, que demonstra todo o projeto que se propõe a realizar, também sinalizando a cortina de contenção a ser edificada;</w:t>
      </w:r>
    </w:p>
    <w:p w:rsidR="002B14BD" w:rsidRDefault="00EB2337" w:rsidP="00C816F0">
      <w:pPr>
        <w:pStyle w:val="Standard"/>
        <w:numPr>
          <w:ilvl w:val="2"/>
          <w:numId w:val="6"/>
        </w:numPr>
        <w:spacing w:line="276" w:lineRule="auto"/>
        <w:ind w:right="68" w:firstLine="709"/>
        <w:jc w:val="both"/>
        <w:rPr>
          <w:rFonts w:ascii="Garamond" w:hAnsi="Garamond" w:cs="Garamond"/>
        </w:rPr>
      </w:pPr>
      <w:r w:rsidRPr="00C816F0">
        <w:rPr>
          <w:rFonts w:ascii="Garamond" w:hAnsi="Garamond" w:cs="Garamond"/>
        </w:rPr>
        <w:t>Anotação de Responsabilidade Técnica (ART)</w:t>
      </w:r>
      <w:r w:rsidR="00C816F0" w:rsidRPr="00C816F0">
        <w:rPr>
          <w:rFonts w:ascii="Garamond" w:hAnsi="Garamond" w:cs="Garamond"/>
        </w:rPr>
        <w:t xml:space="preserve"> e RRT (Registro de Responsabilidade Técnica) de todos os projetos</w:t>
      </w:r>
      <w:r w:rsidRPr="00C816F0">
        <w:rPr>
          <w:rFonts w:ascii="Garamond" w:hAnsi="Garamond" w:cs="Garamond"/>
        </w:rPr>
        <w:t>.</w:t>
      </w:r>
    </w:p>
    <w:p w:rsidR="00C816F0" w:rsidRPr="00C816F0" w:rsidRDefault="00C816F0" w:rsidP="00C816F0">
      <w:pPr>
        <w:pStyle w:val="Standard"/>
        <w:spacing w:line="276" w:lineRule="auto"/>
        <w:ind w:left="709" w:right="68"/>
        <w:jc w:val="both"/>
        <w:rPr>
          <w:rFonts w:ascii="Garamond" w:hAnsi="Garamond" w:cs="Garamond"/>
        </w:rPr>
      </w:pPr>
    </w:p>
    <w:p w:rsidR="002B14BD" w:rsidRDefault="00EB2337" w:rsidP="00C816F0">
      <w:pPr>
        <w:pStyle w:val="Standard"/>
        <w:spacing w:line="276" w:lineRule="auto"/>
        <w:ind w:right="68" w:firstLine="709"/>
        <w:jc w:val="both"/>
        <w:rPr>
          <w:rFonts w:ascii="Garamond" w:hAnsi="Garamond" w:cs="Garamond"/>
        </w:rPr>
      </w:pPr>
      <w:r w:rsidRPr="00222120">
        <w:rPr>
          <w:rFonts w:ascii="Garamond" w:hAnsi="Garamond" w:cs="Garamond"/>
        </w:rPr>
        <w:t>Em 23 de março dois novos Laudos foram elaborados pelos engenheiros Rafael Sousa Bernardes</w:t>
      </w:r>
      <w:r w:rsidR="00C816F0">
        <w:rPr>
          <w:rFonts w:ascii="Garamond" w:hAnsi="Garamond" w:cs="Garamond"/>
        </w:rPr>
        <w:t xml:space="preserve"> e Thiago Augusto Silva Ribeiro. </w:t>
      </w:r>
      <w:r w:rsidRPr="00222120">
        <w:rPr>
          <w:rFonts w:ascii="Garamond" w:hAnsi="Garamond" w:cs="Garamond"/>
        </w:rPr>
        <w:t>O Laudo Técnico do Sistema de Contenção do Solo, “com finalidade de documentar tecnicamente a necessidade da execução de um Sistema de Contenção”, que conclui com a recomendação da execução de muro de contenção na parte frontal do lote em que se encontra o imóvel, a fim de preservar a segurança dos usuários do hospital, transeuntes e do logradouro público visto que existe o risco de desmoronamento durante as escavações. Junto ao lado, foram encaminhados os</w:t>
      </w:r>
      <w:r w:rsidR="00C816F0">
        <w:rPr>
          <w:rFonts w:ascii="Garamond" w:hAnsi="Garamond" w:cs="Garamond"/>
        </w:rPr>
        <w:t xml:space="preserve"> relatórios de sondagem do solo. </w:t>
      </w:r>
      <w:r w:rsidRPr="00222120">
        <w:rPr>
          <w:rFonts w:ascii="Garamond" w:hAnsi="Garamond" w:cs="Garamond"/>
        </w:rPr>
        <w:t>O Laudo Técnico de Inspeção Predial, que tem como objetivo identificar “as anomalias construtivas e manifestações patológicas das construções – com a análise do risco oferecido aos usuários, ao meio ambiente e ao patrimônio – que interferem e prejudicam a saúde e habitabilidade”. Para a elaboração do laudo foram vistoriados</w:t>
      </w:r>
      <w:r w:rsidR="00C816F0">
        <w:rPr>
          <w:rFonts w:ascii="Garamond" w:hAnsi="Garamond" w:cs="Garamond"/>
        </w:rPr>
        <w:t>,</w:t>
      </w:r>
      <w:r w:rsidRPr="00222120">
        <w:rPr>
          <w:rFonts w:ascii="Garamond" w:hAnsi="Garamond" w:cs="Garamond"/>
        </w:rPr>
        <w:t xml:space="preserve"> no dia 22 de março</w:t>
      </w:r>
      <w:r w:rsidR="00C816F0">
        <w:rPr>
          <w:rFonts w:ascii="Garamond" w:hAnsi="Garamond" w:cs="Garamond"/>
        </w:rPr>
        <w:t>,</w:t>
      </w:r>
      <w:r w:rsidRPr="00222120">
        <w:rPr>
          <w:rFonts w:ascii="Garamond" w:hAnsi="Garamond" w:cs="Garamond"/>
        </w:rPr>
        <w:t xml:space="preserve"> os seguintes elementos da edificação: Estrutura de concreto armado; vedações e alvenarias; instalações elétricas; instalações </w:t>
      </w:r>
      <w:proofErr w:type="spellStart"/>
      <w:r w:rsidRPr="00222120">
        <w:rPr>
          <w:rFonts w:ascii="Garamond" w:hAnsi="Garamond" w:cs="Garamond"/>
        </w:rPr>
        <w:t>hidro-sanitárias</w:t>
      </w:r>
      <w:proofErr w:type="spellEnd"/>
      <w:r w:rsidRPr="00222120">
        <w:rPr>
          <w:rFonts w:ascii="Garamond" w:hAnsi="Garamond" w:cs="Garamond"/>
        </w:rPr>
        <w:t xml:space="preserve">; cobertura e impermeabilização. Todos os sistemas </w:t>
      </w:r>
      <w:r w:rsidR="003D0263" w:rsidRPr="00222120">
        <w:rPr>
          <w:rFonts w:ascii="Garamond" w:hAnsi="Garamond" w:cs="Garamond"/>
        </w:rPr>
        <w:t>vistoriados</w:t>
      </w:r>
      <w:r w:rsidRPr="00222120">
        <w:rPr>
          <w:rFonts w:ascii="Garamond" w:hAnsi="Garamond" w:cs="Garamond"/>
        </w:rPr>
        <w:t xml:space="preserve"> apresentaram Grau de Risco Mínimo – Impacto Recuperável, que, de acordo com o próprio laudo é definido como “aquele causado por pequenas perdas de desempenho e funcionalidade, principalmente quanto à estética ou atividade programável e planejada, sem incidência ou sem a probabilidade de ocorrência dos riscos relativos aos impactos </w:t>
      </w:r>
      <w:r w:rsidRPr="00222120">
        <w:rPr>
          <w:rFonts w:ascii="Garamond" w:hAnsi="Garamond" w:cs="Garamond"/>
        </w:rPr>
        <w:lastRenderedPageBreak/>
        <w:t>irrecuperáveis e parcialmente recuperáveis, além de baixo ou nenhum comprometimento do valor imobiliário”.</w:t>
      </w:r>
    </w:p>
    <w:p w:rsidR="00CE50F5" w:rsidRPr="00222120" w:rsidRDefault="00CE50F5" w:rsidP="00C816F0">
      <w:pPr>
        <w:pStyle w:val="Standard"/>
        <w:spacing w:line="276" w:lineRule="auto"/>
        <w:ind w:right="68" w:firstLine="709"/>
        <w:jc w:val="both"/>
        <w:rPr>
          <w:rFonts w:ascii="Garamond" w:hAnsi="Garamond" w:cs="Garamond"/>
        </w:rPr>
      </w:pPr>
    </w:p>
    <w:p w:rsidR="002B14BD" w:rsidRPr="00222120" w:rsidRDefault="00EB2337" w:rsidP="003D0263">
      <w:pPr>
        <w:pStyle w:val="Standard"/>
        <w:spacing w:line="276" w:lineRule="auto"/>
        <w:ind w:firstLine="708"/>
        <w:jc w:val="both"/>
        <w:rPr>
          <w:rFonts w:ascii="Garamond" w:hAnsi="Garamond" w:cs="Garamond"/>
        </w:rPr>
      </w:pPr>
      <w:r w:rsidRPr="00222120">
        <w:rPr>
          <w:rFonts w:ascii="Garamond" w:hAnsi="Garamond" w:cs="Garamond"/>
        </w:rPr>
        <w:t xml:space="preserve">As manifestações patológicas encontradas na vistoria e relatadas por </w:t>
      </w:r>
      <w:r w:rsidR="003D0263" w:rsidRPr="00222120">
        <w:rPr>
          <w:rFonts w:ascii="Garamond" w:hAnsi="Garamond" w:cs="Garamond"/>
        </w:rPr>
        <w:t>funcionários</w:t>
      </w:r>
      <w:r w:rsidRPr="00222120">
        <w:rPr>
          <w:rFonts w:ascii="Garamond" w:hAnsi="Garamond" w:cs="Garamond"/>
        </w:rPr>
        <w:t xml:space="preserve"> foram:</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1) Infiltrações de água;</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2) Proliferação de fungos devido a ventilação ineficiente;</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3) Vazamentos em tubulações;</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4) Problemas na parte elétrica;</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5) Desgaste natural dos revestimentos em geral devido a idade e ao uso intenso;</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6) Corrosão das tubulações hidráulicas;</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7) Inundações e alagamentos;</w:t>
      </w:r>
    </w:p>
    <w:p w:rsidR="002B14BD" w:rsidRPr="00222120" w:rsidRDefault="00EB2337">
      <w:pPr>
        <w:pStyle w:val="Standard"/>
        <w:spacing w:line="276" w:lineRule="auto"/>
        <w:jc w:val="both"/>
        <w:rPr>
          <w:rFonts w:ascii="Garamond" w:hAnsi="Garamond" w:cs="Garamond"/>
        </w:rPr>
      </w:pPr>
      <w:r w:rsidRPr="00222120">
        <w:rPr>
          <w:rFonts w:ascii="Garamond" w:hAnsi="Garamond" w:cs="Garamond"/>
        </w:rPr>
        <w:t>8) Fissuras e trincas.</w:t>
      </w:r>
    </w:p>
    <w:p w:rsidR="003D0263" w:rsidRDefault="003D0263" w:rsidP="003D0263">
      <w:pPr>
        <w:pStyle w:val="Standard"/>
        <w:spacing w:line="276" w:lineRule="auto"/>
        <w:ind w:firstLine="708"/>
        <w:jc w:val="both"/>
        <w:rPr>
          <w:rFonts w:ascii="Garamond" w:hAnsi="Garamond" w:cs="Garamond"/>
        </w:rPr>
      </w:pPr>
    </w:p>
    <w:p w:rsidR="002B14BD" w:rsidRPr="00222120" w:rsidRDefault="00EB2337" w:rsidP="003D0263">
      <w:pPr>
        <w:pStyle w:val="Standard"/>
        <w:spacing w:line="276" w:lineRule="auto"/>
        <w:ind w:firstLine="708"/>
        <w:jc w:val="both"/>
        <w:rPr>
          <w:rFonts w:ascii="Garamond" w:hAnsi="Garamond" w:cs="Garamond"/>
        </w:rPr>
      </w:pPr>
      <w:r w:rsidRPr="00222120">
        <w:rPr>
          <w:rFonts w:ascii="Garamond" w:hAnsi="Garamond" w:cs="Garamond"/>
        </w:rPr>
        <w:t>Por fim, o laudo conclui pela necessidade da implantação de um projeto/construção dado que “as condições obsoletas dos sistemas construtivos poderá ser causador de danos pessoais e materiais significativos aos pacientes e funcionários do prédio” e que da forma como a edificação se encontra “favorece a colonização de germes patológicos, afastando os pacientes e até correndo risco de contaminação”.</w:t>
      </w:r>
    </w:p>
    <w:p w:rsidR="002B14BD" w:rsidRPr="00222120" w:rsidRDefault="002B14BD">
      <w:pPr>
        <w:pStyle w:val="Standard"/>
        <w:spacing w:line="276" w:lineRule="auto"/>
        <w:jc w:val="both"/>
        <w:rPr>
          <w:rFonts w:ascii="Garamond" w:hAnsi="Garamond" w:cs="Garamond"/>
        </w:rPr>
      </w:pPr>
    </w:p>
    <w:p w:rsidR="002B14BD" w:rsidRPr="00222120" w:rsidRDefault="00EB2337">
      <w:pPr>
        <w:pStyle w:val="Standard"/>
        <w:spacing w:line="276" w:lineRule="auto"/>
        <w:ind w:right="68" w:firstLine="709"/>
        <w:jc w:val="both"/>
        <w:rPr>
          <w:rFonts w:ascii="Garamond" w:hAnsi="Garamond" w:cs="Garamond"/>
        </w:rPr>
      </w:pPr>
      <w:r w:rsidRPr="00222120">
        <w:rPr>
          <w:rFonts w:ascii="Garamond" w:hAnsi="Garamond" w:cs="Garamond"/>
        </w:rPr>
        <w:t>Em 24 de abril foi elaborado pela Diretoria de Memória e Patrimônio Cultural da Prefeitura Municipal de Patos de Minas, parecer técnico</w:t>
      </w:r>
      <w:r w:rsidRPr="00222120">
        <w:rPr>
          <w:rStyle w:val="Refdenotaderodap"/>
          <w:rFonts w:ascii="Garamond" w:hAnsi="Garamond" w:cs="Garamond"/>
        </w:rPr>
        <w:footnoteReference w:id="4"/>
      </w:r>
      <w:r w:rsidRPr="00222120">
        <w:rPr>
          <w:rFonts w:ascii="Garamond" w:hAnsi="Garamond" w:cs="Garamond"/>
        </w:rPr>
        <w:t xml:space="preserve"> que avalia o grau de integridade do bem cultural. No que diz respeito as alterações realizadas na edificação, o documento afirma não ser possível identificar suas respectivas datações, tendo ocorrido ao longo dos últimos 10 anos, sabendo-se apenas que as intervenções na fachada frontal ocorreram após o inventário, como pode ser observado nas fotos da ficha de inventário. O parecer também reconhece que todas essas alterações possuem caráter funcional, dado a necessidade de adequação do espaço para o funcionamento e ampliação do hospital, não possuindo algum comprometimento com o resultado estético, sendo a maior delas, o bloco anexado junto a fachada lateral, que destoa da edificação original tanto em estilo quanto volumetria. Finalmente, frente a necessidade do desenvolvimento das atividades hospitalares e os padrões de exigências sanitárias, o parecer considera a liberação dos ambientes interiores para intervenções como melhor aprouver, e lista recomendações para o tratamento da edificação existente.</w:t>
      </w:r>
    </w:p>
    <w:p w:rsidR="002B14BD" w:rsidRPr="00222120" w:rsidRDefault="002B14BD">
      <w:pPr>
        <w:pStyle w:val="Standard"/>
        <w:spacing w:line="276" w:lineRule="auto"/>
        <w:ind w:right="68" w:firstLine="709"/>
        <w:jc w:val="both"/>
        <w:rPr>
          <w:rFonts w:ascii="Garamond" w:hAnsi="Garamond" w:cs="Garamond"/>
        </w:rPr>
      </w:pPr>
    </w:p>
    <w:p w:rsidR="002B14BD" w:rsidRPr="00222120" w:rsidRDefault="00EB2337">
      <w:pPr>
        <w:pStyle w:val="Standard"/>
        <w:spacing w:line="276" w:lineRule="auto"/>
        <w:ind w:right="68" w:firstLine="709"/>
        <w:jc w:val="both"/>
        <w:rPr>
          <w:rFonts w:ascii="Garamond" w:hAnsi="Garamond" w:cs="Garamond"/>
        </w:rPr>
      </w:pPr>
      <w:r w:rsidRPr="00222120">
        <w:rPr>
          <w:rFonts w:ascii="Garamond" w:hAnsi="Garamond" w:cs="Garamond"/>
        </w:rPr>
        <w:t>Em 26 de abril, o CONDEPAHC emitiu parecer</w:t>
      </w:r>
      <w:r w:rsidRPr="00222120">
        <w:rPr>
          <w:rStyle w:val="Refdenotaderodap"/>
          <w:rFonts w:ascii="Garamond" w:hAnsi="Garamond" w:cs="Garamond"/>
        </w:rPr>
        <w:footnoteReference w:id="5"/>
      </w:r>
      <w:r w:rsidRPr="00222120">
        <w:rPr>
          <w:rFonts w:ascii="Garamond" w:hAnsi="Garamond" w:cs="Garamond"/>
        </w:rPr>
        <w:t xml:space="preserve"> autorizando a intervenção física no bem inventariado desde que observada as medidas compensatórias propostas.</w:t>
      </w:r>
    </w:p>
    <w:p w:rsidR="002B14BD" w:rsidRDefault="002B14BD">
      <w:pPr>
        <w:pStyle w:val="Standard"/>
        <w:spacing w:line="276" w:lineRule="auto"/>
        <w:ind w:right="68" w:firstLine="709"/>
        <w:jc w:val="both"/>
        <w:rPr>
          <w:rFonts w:ascii="Garamond" w:hAnsi="Garamond" w:cs="Garamond"/>
        </w:rPr>
      </w:pPr>
    </w:p>
    <w:p w:rsidR="00CE50F5" w:rsidRDefault="00CE50F5">
      <w:pPr>
        <w:pStyle w:val="Standard"/>
        <w:spacing w:line="276" w:lineRule="auto"/>
        <w:ind w:right="68" w:firstLine="709"/>
        <w:jc w:val="both"/>
        <w:rPr>
          <w:rFonts w:ascii="Garamond" w:hAnsi="Garamond" w:cs="Garamond"/>
        </w:rPr>
      </w:pPr>
    </w:p>
    <w:p w:rsidR="00CE50F5" w:rsidRPr="00222120" w:rsidRDefault="00CE50F5">
      <w:pPr>
        <w:pStyle w:val="Standard"/>
        <w:spacing w:line="276" w:lineRule="auto"/>
        <w:ind w:right="68" w:firstLine="709"/>
        <w:jc w:val="both"/>
        <w:rPr>
          <w:rFonts w:ascii="Garamond" w:hAnsi="Garamond" w:cs="Garamond"/>
        </w:rPr>
      </w:pPr>
    </w:p>
    <w:p w:rsidR="005542CF" w:rsidRPr="005542CF" w:rsidRDefault="00EB2337" w:rsidP="005542CF">
      <w:pPr>
        <w:pStyle w:val="Standard"/>
        <w:numPr>
          <w:ilvl w:val="0"/>
          <w:numId w:val="4"/>
        </w:numPr>
        <w:spacing w:line="276" w:lineRule="auto"/>
        <w:jc w:val="both"/>
        <w:rPr>
          <w:rFonts w:ascii="Garamond" w:hAnsi="Garamond" w:cs="Garamond"/>
          <w:b/>
          <w:bCs/>
        </w:rPr>
      </w:pPr>
      <w:r w:rsidRPr="005542CF">
        <w:rPr>
          <w:rFonts w:ascii="Garamond" w:hAnsi="Garamond" w:cs="Garamond"/>
          <w:b/>
          <w:bCs/>
        </w:rPr>
        <w:lastRenderedPageBreak/>
        <w:t>Br</w:t>
      </w:r>
      <w:r w:rsidR="005542CF">
        <w:rPr>
          <w:rFonts w:ascii="Garamond" w:hAnsi="Garamond" w:cs="Garamond"/>
          <w:b/>
          <w:bCs/>
        </w:rPr>
        <w:t xml:space="preserve">eve Histórico de Patos </w:t>
      </w:r>
      <w:r w:rsidR="005542CF" w:rsidRPr="005542CF">
        <w:rPr>
          <w:rFonts w:ascii="Garamond" w:eastAsia="MS Mincho" w:hAnsi="Garamond"/>
          <w:b/>
          <w:bCs/>
          <w:kern w:val="0"/>
          <w:lang w:eastAsia="pt-BR"/>
        </w:rPr>
        <w:t>de Minas</w:t>
      </w:r>
      <w:r w:rsidR="005542CF" w:rsidRPr="005542CF">
        <w:rPr>
          <w:rFonts w:eastAsia="MS Mincho"/>
          <w:kern w:val="0"/>
          <w:vertAlign w:val="superscript"/>
          <w:lang w:eastAsia="pt-BR"/>
        </w:rPr>
        <w:footnoteReference w:id="6"/>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 xml:space="preserve">Estudos comprovam a predominância de tribos indígenas no período que antecede a dominação branca na região. Segundo André </w:t>
      </w:r>
      <w:proofErr w:type="spellStart"/>
      <w:r w:rsidRPr="005542CF">
        <w:rPr>
          <w:rFonts w:ascii="Garamond" w:eastAsia="Times New Roman" w:hAnsi="Garamond" w:cs="Times New Roman"/>
          <w:kern w:val="0"/>
          <w:szCs w:val="20"/>
          <w:lang w:eastAsia="pt-BR" w:bidi="ar-SA"/>
        </w:rPr>
        <w:t>Prous</w:t>
      </w:r>
      <w:proofErr w:type="spellEnd"/>
      <w:r w:rsidRPr="005542CF">
        <w:rPr>
          <w:rFonts w:ascii="Garamond" w:eastAsia="Times New Roman" w:hAnsi="Garamond" w:cs="Times New Roman"/>
          <w:kern w:val="0"/>
          <w:szCs w:val="20"/>
          <w:lang w:eastAsia="pt-BR" w:bidi="ar-SA"/>
        </w:rPr>
        <w:t>, autor do livro "Arqueologia Brasile</w:t>
      </w:r>
      <w:r w:rsidRPr="005542CF">
        <w:rPr>
          <w:rFonts w:ascii="Garamond" w:eastAsia="Times New Roman" w:hAnsi="Garamond" w:cs="Times New Roman"/>
          <w:kern w:val="0"/>
          <w:szCs w:val="20"/>
          <w:lang w:eastAsia="pt-BR" w:bidi="ar-SA"/>
        </w:rPr>
        <w:t>i</w:t>
      </w:r>
      <w:r w:rsidRPr="005542CF">
        <w:rPr>
          <w:rFonts w:ascii="Garamond" w:eastAsia="Times New Roman" w:hAnsi="Garamond" w:cs="Times New Roman"/>
          <w:kern w:val="0"/>
          <w:szCs w:val="20"/>
          <w:lang w:eastAsia="pt-BR" w:bidi="ar-SA"/>
        </w:rPr>
        <w:t>ra", costuma-se atribuir aos "</w:t>
      </w:r>
      <w:proofErr w:type="spellStart"/>
      <w:r w:rsidRPr="005542CF">
        <w:rPr>
          <w:rFonts w:ascii="Garamond" w:eastAsia="Times New Roman" w:hAnsi="Garamond" w:cs="Times New Roman"/>
          <w:kern w:val="0"/>
          <w:szCs w:val="20"/>
          <w:lang w:eastAsia="pt-BR" w:bidi="ar-SA"/>
        </w:rPr>
        <w:t>Cataguás</w:t>
      </w:r>
      <w:proofErr w:type="spellEnd"/>
      <w:r w:rsidRPr="005542CF">
        <w:rPr>
          <w:rFonts w:ascii="Garamond" w:eastAsia="Times New Roman" w:hAnsi="Garamond" w:cs="Times New Roman"/>
          <w:kern w:val="0"/>
          <w:szCs w:val="20"/>
          <w:lang w:eastAsia="pt-BR" w:bidi="ar-SA"/>
        </w:rPr>
        <w:t>", a ocupação da região sudoeste mineira, tribo que resistiu bravamente aos invasores brancos, mas que não chegou a ser estudada. A existência de vestígios arqueológicos são as marcas deixadas por estas nações.</w:t>
      </w:r>
    </w:p>
    <w:p w:rsidR="005542CF" w:rsidRPr="005542CF" w:rsidRDefault="005542CF" w:rsidP="005542CF">
      <w:pPr>
        <w:widowControl/>
        <w:suppressAutoHyphens w:val="0"/>
        <w:autoSpaceDN/>
        <w:spacing w:line="276" w:lineRule="auto"/>
        <w:ind w:firstLine="720"/>
        <w:jc w:val="both"/>
        <w:textAlignment w:val="auto"/>
        <w:rPr>
          <w:rFonts w:ascii="Garamond" w:eastAsia="MS Mincho" w:hAnsi="Garamond" w:cs="Times New Roman"/>
          <w:b/>
          <w:bCs/>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O processo de colonização da região ocupada hoje pelo município de Patos de M</w:t>
      </w:r>
      <w:r w:rsidRPr="005542CF">
        <w:rPr>
          <w:rFonts w:ascii="Garamond" w:eastAsia="Times New Roman" w:hAnsi="Garamond" w:cs="Times New Roman"/>
          <w:kern w:val="0"/>
          <w:szCs w:val="20"/>
          <w:lang w:eastAsia="pt-BR" w:bidi="ar-SA"/>
        </w:rPr>
        <w:t>i</w:t>
      </w:r>
      <w:r w:rsidRPr="005542CF">
        <w:rPr>
          <w:rFonts w:ascii="Garamond" w:eastAsia="Times New Roman" w:hAnsi="Garamond" w:cs="Times New Roman"/>
          <w:kern w:val="0"/>
          <w:szCs w:val="20"/>
          <w:lang w:eastAsia="pt-BR" w:bidi="ar-SA"/>
        </w:rPr>
        <w:t>nas e distritos vizinhos teve início, provavelmente, na metade do século XVIII, período que antecede à descoberta do ouro nas regiões das minas com o movimento das entradas e bandeiras rumo às terras de Paracatu. A picada de Goiás foi o primeiro caminho oficial aberto das Minas Gerais ao território de Goiás. A partir desse período, encontra-se regi</w:t>
      </w:r>
      <w:r w:rsidRPr="005542CF">
        <w:rPr>
          <w:rFonts w:ascii="Garamond" w:eastAsia="Times New Roman" w:hAnsi="Garamond" w:cs="Times New Roman"/>
          <w:kern w:val="0"/>
          <w:szCs w:val="20"/>
          <w:lang w:eastAsia="pt-BR" w:bidi="ar-SA"/>
        </w:rPr>
        <w:t>s</w:t>
      </w:r>
      <w:r w:rsidRPr="005542CF">
        <w:rPr>
          <w:rFonts w:ascii="Garamond" w:eastAsia="Times New Roman" w:hAnsi="Garamond" w:cs="Times New Roman"/>
          <w:kern w:val="0"/>
          <w:szCs w:val="20"/>
          <w:lang w:eastAsia="pt-BR" w:bidi="ar-SA"/>
        </w:rPr>
        <w:t>trada a denominação "Os Patos" para designar a povoação à beira desse caminho. O Mun</w:t>
      </w:r>
      <w:r w:rsidRPr="005542CF">
        <w:rPr>
          <w:rFonts w:ascii="Garamond" w:eastAsia="Times New Roman" w:hAnsi="Garamond" w:cs="Times New Roman"/>
          <w:kern w:val="0"/>
          <w:szCs w:val="20"/>
          <w:lang w:eastAsia="pt-BR" w:bidi="ar-SA"/>
        </w:rPr>
        <w:t>i</w:t>
      </w:r>
      <w:r w:rsidRPr="005542CF">
        <w:rPr>
          <w:rFonts w:ascii="Garamond" w:eastAsia="Times New Roman" w:hAnsi="Garamond" w:cs="Times New Roman"/>
          <w:kern w:val="0"/>
          <w:szCs w:val="20"/>
          <w:lang w:eastAsia="pt-BR" w:bidi="ar-SA"/>
        </w:rPr>
        <w:t>cípio surgiu às margens das fontes de águas do caminho de São João Del Rei à Paracatu em busca de ouro.</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A doação de terras a Santo Antônio, em 1826, para edificação de um templo e para acomodar os povos, por parte de Antônio Joaquim da Silva Guerra e de sua mulher Luiza Corrêa de Andrade, propiciou a origem do Arraial de Santo Antônio da Beira do Paranaíba. A criação da vila ocorreu em 1866 e a instalação em 1868.</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A cidade de Patos de Minas surgiu na segunda década do século XIX em torno da Lagoa dos Patos, onde segundo as descrições históricas existia uma enorme quantidade de patos silvestres. Os primeiros habitantes foram lavradores e criadores de gado, sendo muito visitados por tropeiros. O povoado, à beira do rio Paranaíba, cresceu, virou arraial e depois vila, a devota vila de Santo Antônio dos Patos.</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Em 24 de maio de 1892, o presidente do Estado de Minas Gerais eleva a vila à c</w:t>
      </w:r>
      <w:r w:rsidRPr="005542CF">
        <w:rPr>
          <w:rFonts w:ascii="Garamond" w:eastAsia="Times New Roman" w:hAnsi="Garamond" w:cs="Times New Roman"/>
          <w:kern w:val="0"/>
          <w:szCs w:val="20"/>
          <w:lang w:eastAsia="pt-BR" w:bidi="ar-SA"/>
        </w:rPr>
        <w:t>a</w:t>
      </w:r>
      <w:r w:rsidRPr="005542CF">
        <w:rPr>
          <w:rFonts w:ascii="Garamond" w:eastAsia="Times New Roman" w:hAnsi="Garamond" w:cs="Times New Roman"/>
          <w:kern w:val="0"/>
          <w:szCs w:val="20"/>
          <w:lang w:eastAsia="pt-BR" w:bidi="ar-SA"/>
        </w:rPr>
        <w:t>tegoria de cidade de Patos de Minas. Em 1943, o governo do Estado mudou o nome para Guaratinga, provocando insatisfação na população. Atendendo aos apelos populares em 03 de junho de 1945, muda novamente para Patos de Minas para distingui-lo de Patos da Par</w:t>
      </w:r>
      <w:r w:rsidRPr="005542CF">
        <w:rPr>
          <w:rFonts w:ascii="Garamond" w:eastAsia="Times New Roman" w:hAnsi="Garamond" w:cs="Times New Roman"/>
          <w:kern w:val="0"/>
          <w:szCs w:val="20"/>
          <w:lang w:eastAsia="pt-BR" w:bidi="ar-SA"/>
        </w:rPr>
        <w:t>a</w:t>
      </w:r>
      <w:r w:rsidRPr="005542CF">
        <w:rPr>
          <w:rFonts w:ascii="Garamond" w:eastAsia="Times New Roman" w:hAnsi="Garamond" w:cs="Times New Roman"/>
          <w:kern w:val="0"/>
          <w:szCs w:val="20"/>
          <w:lang w:eastAsia="pt-BR" w:bidi="ar-SA"/>
        </w:rPr>
        <w:t>íba, município mais antigo. Seu aniversário é comemorado em 24 de maio, ocasião em que se realiza a "Festa Nacional do Milho".</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O desenvolvimento maior do município ocorreu na década de 30 pelos melhor</w:t>
      </w:r>
      <w:r w:rsidRPr="005542CF">
        <w:rPr>
          <w:rFonts w:ascii="Garamond" w:eastAsia="Times New Roman" w:hAnsi="Garamond" w:cs="Times New Roman"/>
          <w:kern w:val="0"/>
          <w:szCs w:val="20"/>
          <w:lang w:eastAsia="pt-BR" w:bidi="ar-SA"/>
        </w:rPr>
        <w:t>a</w:t>
      </w:r>
      <w:r w:rsidRPr="005542CF">
        <w:rPr>
          <w:rFonts w:ascii="Garamond" w:eastAsia="Times New Roman" w:hAnsi="Garamond" w:cs="Times New Roman"/>
          <w:kern w:val="0"/>
          <w:szCs w:val="20"/>
          <w:lang w:eastAsia="pt-BR" w:bidi="ar-SA"/>
        </w:rPr>
        <w:t xml:space="preserve">mentos executados pelo Governo do Estado, cujo Presidente era Olegário Dias Maciel. Em seu governo, instalou-se e construiu-se a sede da Escola Normal, (hoje Escola Estadual "Professor Antônio Dias Maciel"), o Hospital Regional "Antônio Dias Maciel, o Fórum "Olympio Borges" e o grupo escolar "Marcolino de Barros". Essas obras ampliaram muito as influências do município na região. </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lastRenderedPageBreak/>
        <w:t>A década de 50 foi de grande avanço regional. Houve grande surto migratório e a instalação de grandes firmas comerciais nos mais diversos segmentos. Nessa época, con</w:t>
      </w:r>
      <w:r w:rsidRPr="005542CF">
        <w:rPr>
          <w:rFonts w:ascii="Garamond" w:eastAsia="Times New Roman" w:hAnsi="Garamond" w:cs="Times New Roman"/>
          <w:kern w:val="0"/>
          <w:szCs w:val="20"/>
          <w:lang w:eastAsia="pt-BR" w:bidi="ar-SA"/>
        </w:rPr>
        <w:t>s</w:t>
      </w:r>
      <w:r w:rsidRPr="005542CF">
        <w:rPr>
          <w:rFonts w:ascii="Garamond" w:eastAsia="Times New Roman" w:hAnsi="Garamond" w:cs="Times New Roman"/>
          <w:kern w:val="0"/>
          <w:szCs w:val="20"/>
          <w:lang w:eastAsia="pt-BR" w:bidi="ar-SA"/>
        </w:rPr>
        <w:t>truiu-se o primeiro terminal rodoviário e iniciou-se a comemoração da Festa Nacional do Milho.</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 xml:space="preserve">Nos anos 60 e 70, em que o país vivia sob pressão da ditadura militar, houve certa estagnação econômica, motivada pela mudança da capital do país para Brasília. Grande parte da população local se deslocou para lá em busca de emprego. A capital continuou atraindo os </w:t>
      </w:r>
      <w:proofErr w:type="spellStart"/>
      <w:r w:rsidRPr="005542CF">
        <w:rPr>
          <w:rFonts w:ascii="Garamond" w:eastAsia="Times New Roman" w:hAnsi="Garamond" w:cs="Times New Roman"/>
          <w:kern w:val="0"/>
          <w:szCs w:val="20"/>
          <w:lang w:eastAsia="pt-BR" w:bidi="ar-SA"/>
        </w:rPr>
        <w:t>patenses</w:t>
      </w:r>
      <w:proofErr w:type="spellEnd"/>
      <w:r w:rsidRPr="005542CF">
        <w:rPr>
          <w:rFonts w:ascii="Garamond" w:eastAsia="Times New Roman" w:hAnsi="Garamond" w:cs="Times New Roman"/>
          <w:kern w:val="0"/>
          <w:szCs w:val="20"/>
          <w:lang w:eastAsia="pt-BR" w:bidi="ar-SA"/>
        </w:rPr>
        <w:t xml:space="preserve">, principalmente com a criação das universidades. Ainda hoje existe em Brasília uma colônia significativa de </w:t>
      </w:r>
      <w:proofErr w:type="spellStart"/>
      <w:r w:rsidRPr="005542CF">
        <w:rPr>
          <w:rFonts w:ascii="Garamond" w:eastAsia="Times New Roman" w:hAnsi="Garamond" w:cs="Times New Roman"/>
          <w:kern w:val="0"/>
          <w:szCs w:val="20"/>
          <w:lang w:eastAsia="pt-BR" w:bidi="ar-SA"/>
        </w:rPr>
        <w:t>patenses</w:t>
      </w:r>
      <w:proofErr w:type="spellEnd"/>
      <w:r w:rsidRPr="005542CF">
        <w:rPr>
          <w:rFonts w:ascii="Garamond" w:eastAsia="Times New Roman" w:hAnsi="Garamond" w:cs="Times New Roman"/>
          <w:kern w:val="0"/>
          <w:szCs w:val="20"/>
          <w:lang w:eastAsia="pt-BR" w:bidi="ar-SA"/>
        </w:rPr>
        <w:t>.</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Esse momento foi marcado pela instalação da CEMIG, fundação do Colégio M</w:t>
      </w:r>
      <w:r w:rsidRPr="005542CF">
        <w:rPr>
          <w:rFonts w:ascii="Garamond" w:eastAsia="Times New Roman" w:hAnsi="Garamond" w:cs="Times New Roman"/>
          <w:kern w:val="0"/>
          <w:szCs w:val="20"/>
          <w:lang w:eastAsia="pt-BR" w:bidi="ar-SA"/>
        </w:rPr>
        <w:t>u</w:t>
      </w:r>
      <w:r w:rsidRPr="005542CF">
        <w:rPr>
          <w:rFonts w:ascii="Garamond" w:eastAsia="Times New Roman" w:hAnsi="Garamond" w:cs="Times New Roman"/>
          <w:kern w:val="0"/>
          <w:szCs w:val="20"/>
          <w:lang w:eastAsia="pt-BR" w:bidi="ar-SA"/>
        </w:rPr>
        <w:t>nicipal, transformado em Escola Estadual "Professor Zama Maciel"; a criação da Fundação Educacional de Patos de Minas, com a instalação do primeiro curso superior, a Faculdade de Filosofia, Ciências e Letras, em 1970, e a consolidação da rede rodoviária com o asfa</w:t>
      </w:r>
      <w:r w:rsidRPr="005542CF">
        <w:rPr>
          <w:rFonts w:ascii="Garamond" w:eastAsia="Times New Roman" w:hAnsi="Garamond" w:cs="Times New Roman"/>
          <w:kern w:val="0"/>
          <w:szCs w:val="20"/>
          <w:lang w:eastAsia="pt-BR" w:bidi="ar-SA"/>
        </w:rPr>
        <w:t>l</w:t>
      </w:r>
      <w:r w:rsidRPr="005542CF">
        <w:rPr>
          <w:rFonts w:ascii="Garamond" w:eastAsia="Times New Roman" w:hAnsi="Garamond" w:cs="Times New Roman"/>
          <w:kern w:val="0"/>
          <w:szCs w:val="20"/>
          <w:lang w:eastAsia="pt-BR" w:bidi="ar-SA"/>
        </w:rPr>
        <w:t xml:space="preserve">tamento das </w:t>
      </w:r>
      <w:proofErr w:type="spellStart"/>
      <w:r w:rsidRPr="005542CF">
        <w:rPr>
          <w:rFonts w:ascii="Garamond" w:eastAsia="Times New Roman" w:hAnsi="Garamond" w:cs="Times New Roman"/>
          <w:kern w:val="0"/>
          <w:szCs w:val="20"/>
          <w:lang w:eastAsia="pt-BR" w:bidi="ar-SA"/>
        </w:rPr>
        <w:t>BRs</w:t>
      </w:r>
      <w:proofErr w:type="spellEnd"/>
      <w:r w:rsidRPr="005542CF">
        <w:rPr>
          <w:rFonts w:ascii="Garamond" w:eastAsia="Times New Roman" w:hAnsi="Garamond" w:cs="Times New Roman"/>
          <w:kern w:val="0"/>
          <w:szCs w:val="20"/>
          <w:lang w:eastAsia="pt-BR" w:bidi="ar-SA"/>
        </w:rPr>
        <w:t xml:space="preserve"> 354 e 365, ligando o município à capital do Estado e ao nordeste do país.</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A descoberta da jazida de Fosfato Sedimentar, na localidade da Rocinha, no final dos anos 70, projetou Patos de Minas nacionalmente, ocasionando a primeira visita do Pr</w:t>
      </w:r>
      <w:r w:rsidRPr="005542CF">
        <w:rPr>
          <w:rFonts w:ascii="Garamond" w:eastAsia="Times New Roman" w:hAnsi="Garamond" w:cs="Times New Roman"/>
          <w:kern w:val="0"/>
          <w:szCs w:val="20"/>
          <w:lang w:eastAsia="pt-BR" w:bidi="ar-SA"/>
        </w:rPr>
        <w:t>e</w:t>
      </w:r>
      <w:r w:rsidRPr="005542CF">
        <w:rPr>
          <w:rFonts w:ascii="Garamond" w:eastAsia="Times New Roman" w:hAnsi="Garamond" w:cs="Times New Roman"/>
          <w:kern w:val="0"/>
          <w:szCs w:val="20"/>
          <w:lang w:eastAsia="pt-BR" w:bidi="ar-SA"/>
        </w:rPr>
        <w:t>sidente da República à cidade, o General Ernesto Geisel em 1974.</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 xml:space="preserve">Na área agrícola, houve crescente desenvolvimento técnico, iniciado pelas Sementes Agroceres S/A e Sementes </w:t>
      </w:r>
      <w:proofErr w:type="spellStart"/>
      <w:r w:rsidRPr="005542CF">
        <w:rPr>
          <w:rFonts w:ascii="Garamond" w:eastAsia="Times New Roman" w:hAnsi="Garamond" w:cs="Times New Roman"/>
          <w:kern w:val="0"/>
          <w:szCs w:val="20"/>
          <w:lang w:eastAsia="pt-BR" w:bidi="ar-SA"/>
        </w:rPr>
        <w:t>Ribeiral</w:t>
      </w:r>
      <w:proofErr w:type="spellEnd"/>
      <w:r w:rsidRPr="005542CF">
        <w:rPr>
          <w:rFonts w:ascii="Garamond" w:eastAsia="Times New Roman" w:hAnsi="Garamond" w:cs="Times New Roman"/>
          <w:kern w:val="0"/>
          <w:szCs w:val="20"/>
          <w:lang w:eastAsia="pt-BR" w:bidi="ar-SA"/>
        </w:rPr>
        <w:t xml:space="preserve"> Ltda. Nesta época foi implantado pela Agroceres o primeiro núcleo de genética suína do país. Esse período também foi marcado pela imigr</w:t>
      </w:r>
      <w:r w:rsidRPr="005542CF">
        <w:rPr>
          <w:rFonts w:ascii="Garamond" w:eastAsia="Times New Roman" w:hAnsi="Garamond" w:cs="Times New Roman"/>
          <w:kern w:val="0"/>
          <w:szCs w:val="20"/>
          <w:lang w:eastAsia="pt-BR" w:bidi="ar-SA"/>
        </w:rPr>
        <w:t>a</w:t>
      </w:r>
      <w:r w:rsidRPr="005542CF">
        <w:rPr>
          <w:rFonts w:ascii="Garamond" w:eastAsia="Times New Roman" w:hAnsi="Garamond" w:cs="Times New Roman"/>
          <w:kern w:val="0"/>
          <w:szCs w:val="20"/>
          <w:lang w:eastAsia="pt-BR" w:bidi="ar-SA"/>
        </w:rPr>
        <w:t>ção gaúcha que fixou suas residências e escritórios de venda de sementes em Patos de M</w:t>
      </w:r>
      <w:r w:rsidRPr="005542CF">
        <w:rPr>
          <w:rFonts w:ascii="Garamond" w:eastAsia="Times New Roman" w:hAnsi="Garamond" w:cs="Times New Roman"/>
          <w:kern w:val="0"/>
          <w:szCs w:val="20"/>
          <w:lang w:eastAsia="pt-BR" w:bidi="ar-SA"/>
        </w:rPr>
        <w:t>i</w:t>
      </w:r>
      <w:r w:rsidRPr="005542CF">
        <w:rPr>
          <w:rFonts w:ascii="Garamond" w:eastAsia="Times New Roman" w:hAnsi="Garamond" w:cs="Times New Roman"/>
          <w:kern w:val="0"/>
          <w:szCs w:val="20"/>
          <w:lang w:eastAsia="pt-BR" w:bidi="ar-SA"/>
        </w:rPr>
        <w:t>nas. O cultivo era feito na região de cerrado, vizinha do município, principalmente Pres</w:t>
      </w:r>
      <w:r w:rsidRPr="005542CF">
        <w:rPr>
          <w:rFonts w:ascii="Garamond" w:eastAsia="Times New Roman" w:hAnsi="Garamond" w:cs="Times New Roman"/>
          <w:kern w:val="0"/>
          <w:szCs w:val="20"/>
          <w:lang w:eastAsia="pt-BR" w:bidi="ar-SA"/>
        </w:rPr>
        <w:t>i</w:t>
      </w:r>
      <w:r w:rsidRPr="005542CF">
        <w:rPr>
          <w:rFonts w:ascii="Garamond" w:eastAsia="Times New Roman" w:hAnsi="Garamond" w:cs="Times New Roman"/>
          <w:kern w:val="0"/>
          <w:szCs w:val="20"/>
          <w:lang w:eastAsia="pt-BR" w:bidi="ar-SA"/>
        </w:rPr>
        <w:t>dente Olegário e São Gonçalo do Abaeté.</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r w:rsidRPr="005542CF">
        <w:rPr>
          <w:rFonts w:ascii="Garamond" w:eastAsia="Times New Roman" w:hAnsi="Garamond" w:cs="Times New Roman"/>
          <w:kern w:val="0"/>
          <w:szCs w:val="20"/>
          <w:lang w:eastAsia="pt-BR" w:bidi="ar-SA"/>
        </w:rPr>
        <w:t>Neste período foi grande o desenvolvimento comercial com a implantação de i</w:t>
      </w:r>
      <w:r w:rsidRPr="005542CF">
        <w:rPr>
          <w:rFonts w:ascii="Garamond" w:eastAsia="Times New Roman" w:hAnsi="Garamond" w:cs="Times New Roman"/>
          <w:kern w:val="0"/>
          <w:szCs w:val="20"/>
          <w:lang w:eastAsia="pt-BR" w:bidi="ar-SA"/>
        </w:rPr>
        <w:t>n</w:t>
      </w:r>
      <w:r w:rsidRPr="005542CF">
        <w:rPr>
          <w:rFonts w:ascii="Garamond" w:eastAsia="Times New Roman" w:hAnsi="Garamond" w:cs="Times New Roman"/>
          <w:kern w:val="0"/>
          <w:szCs w:val="20"/>
          <w:lang w:eastAsia="pt-BR" w:bidi="ar-SA"/>
        </w:rPr>
        <w:t>dústrias de confecções e a instalação de uma unidade da CICA, maior processadora de t</w:t>
      </w:r>
      <w:r w:rsidRPr="005542CF">
        <w:rPr>
          <w:rFonts w:ascii="Garamond" w:eastAsia="Times New Roman" w:hAnsi="Garamond" w:cs="Times New Roman"/>
          <w:kern w:val="0"/>
          <w:szCs w:val="20"/>
          <w:lang w:eastAsia="pt-BR" w:bidi="ar-SA"/>
        </w:rPr>
        <w:t>o</w:t>
      </w:r>
      <w:r w:rsidRPr="005542CF">
        <w:rPr>
          <w:rFonts w:ascii="Garamond" w:eastAsia="Times New Roman" w:hAnsi="Garamond" w:cs="Times New Roman"/>
          <w:kern w:val="0"/>
          <w:szCs w:val="20"/>
          <w:lang w:eastAsia="pt-BR" w:bidi="ar-SA"/>
        </w:rPr>
        <w:t>mates da América Latina, promovendo o crescimento de cultivo de milho doce, ervilha e tomate na região.</w:t>
      </w:r>
    </w:p>
    <w:p w:rsidR="005542CF" w:rsidRPr="005542CF" w:rsidRDefault="005542CF" w:rsidP="005542CF">
      <w:pPr>
        <w:widowControl/>
        <w:suppressAutoHyphens w:val="0"/>
        <w:autoSpaceDN/>
        <w:spacing w:line="276" w:lineRule="auto"/>
        <w:ind w:firstLine="720"/>
        <w:jc w:val="both"/>
        <w:textAlignment w:val="auto"/>
        <w:rPr>
          <w:rFonts w:ascii="Garamond" w:eastAsia="Times New Roman" w:hAnsi="Garamond" w:cs="Times New Roman"/>
          <w:kern w:val="0"/>
          <w:szCs w:val="20"/>
          <w:lang w:eastAsia="pt-BR" w:bidi="ar-SA"/>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4536"/>
      </w:tblGrid>
      <w:tr w:rsidR="005542CF" w:rsidRPr="005542CF" w:rsidTr="005542CF">
        <w:tc>
          <w:tcPr>
            <w:tcW w:w="4465" w:type="dxa"/>
          </w:tcPr>
          <w:p w:rsidR="005542CF" w:rsidRPr="005542CF" w:rsidRDefault="005542CF" w:rsidP="005542CF">
            <w:pPr>
              <w:widowControl/>
              <w:suppressAutoHyphens w:val="0"/>
              <w:autoSpaceDN/>
              <w:spacing w:line="276" w:lineRule="auto"/>
              <w:jc w:val="center"/>
              <w:textAlignment w:val="auto"/>
              <w:rPr>
                <w:rFonts w:ascii="Garamond" w:eastAsia="Times New Roman" w:hAnsi="Garamond" w:cs="Times New Roman"/>
                <w:kern w:val="0"/>
                <w:szCs w:val="20"/>
                <w:lang w:eastAsia="pt-BR" w:bidi="ar-SA"/>
              </w:rPr>
            </w:pPr>
            <w:r>
              <w:rPr>
                <w:rFonts w:ascii="Garamond" w:eastAsia="Times New Roman" w:hAnsi="Garamond" w:cs="Courier New"/>
                <w:noProof/>
                <w:kern w:val="0"/>
                <w:sz w:val="20"/>
                <w:szCs w:val="20"/>
                <w:lang w:eastAsia="pt-BR" w:bidi="ar-SA"/>
              </w:rPr>
              <w:drawing>
                <wp:inline distT="0" distB="0" distL="0" distR="0" wp14:anchorId="3628123B" wp14:editId="3A503BCC">
                  <wp:extent cx="2619375" cy="1438275"/>
                  <wp:effectExtent l="0" t="0" r="9525" b="9525"/>
                  <wp:docPr id="10" name="Imagem 1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pic:cNvPicPr>
                            <a:picLocks noChangeAspect="1" noChangeArrowheads="1"/>
                          </pic:cNvPicPr>
                        </pic:nvPicPr>
                        <pic:blipFill rotWithShape="1">
                          <a:blip r:embed="rId9">
                            <a:extLst>
                              <a:ext uri="{28A0092B-C50C-407E-A947-70E740481C1C}">
                                <a14:useLocalDpi xmlns:a14="http://schemas.microsoft.com/office/drawing/2010/main" val="0"/>
                              </a:ext>
                            </a:extLst>
                          </a:blip>
                          <a:srcRect b="15141"/>
                          <a:stretch/>
                        </pic:blipFill>
                        <pic:spPr bwMode="auto">
                          <a:xfrm>
                            <a:off x="0" y="0"/>
                            <a:ext cx="2624340" cy="1441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5542CF" w:rsidRPr="005542CF" w:rsidRDefault="005542CF" w:rsidP="005542CF">
            <w:pPr>
              <w:widowControl/>
              <w:suppressAutoHyphens w:val="0"/>
              <w:autoSpaceDN/>
              <w:spacing w:line="276" w:lineRule="auto"/>
              <w:jc w:val="center"/>
              <w:textAlignment w:val="auto"/>
              <w:rPr>
                <w:rFonts w:ascii="Garamond" w:eastAsia="Times New Roman" w:hAnsi="Garamond" w:cs="Times New Roman"/>
                <w:kern w:val="0"/>
                <w:szCs w:val="20"/>
                <w:lang w:eastAsia="pt-BR" w:bidi="ar-SA"/>
              </w:rPr>
            </w:pPr>
            <w:r>
              <w:rPr>
                <w:rFonts w:ascii="Garamond" w:eastAsia="Times New Roman" w:hAnsi="Garamond" w:cs="Courier New"/>
                <w:noProof/>
                <w:kern w:val="0"/>
                <w:sz w:val="20"/>
                <w:szCs w:val="20"/>
                <w:lang w:eastAsia="pt-BR" w:bidi="ar-SA"/>
              </w:rPr>
              <w:drawing>
                <wp:inline distT="0" distB="0" distL="0" distR="0" wp14:anchorId="3312DD33" wp14:editId="75BCAA11">
                  <wp:extent cx="2627545" cy="1495425"/>
                  <wp:effectExtent l="0" t="0" r="1905" b="0"/>
                  <wp:docPr id="9" name="Imagem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rotWithShape="1">
                          <a:blip r:embed="rId10">
                            <a:extLst>
                              <a:ext uri="{28A0092B-C50C-407E-A947-70E740481C1C}">
                                <a14:useLocalDpi xmlns:a14="http://schemas.microsoft.com/office/drawing/2010/main" val="0"/>
                              </a:ext>
                            </a:extLst>
                          </a:blip>
                          <a:srcRect t="11798"/>
                          <a:stretch/>
                        </pic:blipFill>
                        <pic:spPr bwMode="auto">
                          <a:xfrm>
                            <a:off x="0" y="0"/>
                            <a:ext cx="2632111" cy="1498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2CF" w:rsidRPr="005542CF" w:rsidTr="005542CF">
        <w:trPr>
          <w:cantSplit/>
        </w:trPr>
        <w:tc>
          <w:tcPr>
            <w:tcW w:w="9001" w:type="dxa"/>
            <w:gridSpan w:val="2"/>
          </w:tcPr>
          <w:p w:rsidR="005542CF" w:rsidRPr="005542CF" w:rsidRDefault="005542CF" w:rsidP="005542CF">
            <w:pPr>
              <w:widowControl/>
              <w:suppressAutoHyphens w:val="0"/>
              <w:autoSpaceDN/>
              <w:spacing w:line="276" w:lineRule="auto"/>
              <w:jc w:val="center"/>
              <w:textAlignment w:val="auto"/>
              <w:rPr>
                <w:rFonts w:ascii="Garamond" w:eastAsia="Times New Roman" w:hAnsi="Garamond" w:cs="Times New Roman"/>
                <w:kern w:val="0"/>
                <w:sz w:val="22"/>
                <w:szCs w:val="20"/>
                <w:lang w:eastAsia="pt-BR" w:bidi="ar-SA"/>
              </w:rPr>
            </w:pPr>
            <w:r w:rsidRPr="005542CF">
              <w:rPr>
                <w:rFonts w:ascii="Garamond" w:eastAsia="Times New Roman" w:hAnsi="Garamond" w:cs="Times New Roman"/>
                <w:kern w:val="0"/>
                <w:sz w:val="22"/>
                <w:szCs w:val="20"/>
                <w:lang w:eastAsia="pt-BR" w:bidi="ar-SA"/>
              </w:rPr>
              <w:t>Figuras 01 e 02 – Fotos antigas da cidade de Patos de Minas. Fonte: http://www.patosdeminas.mg.gov.br/galeria/historicas/index.php, acesso em outubro/2013.</w:t>
            </w:r>
          </w:p>
        </w:tc>
      </w:tr>
    </w:tbl>
    <w:p w:rsidR="002B14BD" w:rsidRPr="00222120" w:rsidRDefault="00EB2337">
      <w:pPr>
        <w:pStyle w:val="Standard"/>
        <w:numPr>
          <w:ilvl w:val="0"/>
          <w:numId w:val="4"/>
        </w:numPr>
        <w:spacing w:line="276" w:lineRule="auto"/>
        <w:jc w:val="both"/>
        <w:rPr>
          <w:rFonts w:ascii="Garamond" w:hAnsi="Garamond" w:cs="Garamond"/>
          <w:b/>
          <w:bCs/>
        </w:rPr>
      </w:pPr>
      <w:r w:rsidRPr="00222120">
        <w:rPr>
          <w:rFonts w:ascii="Garamond" w:hAnsi="Garamond" w:cs="Garamond"/>
          <w:b/>
          <w:bCs/>
        </w:rPr>
        <w:lastRenderedPageBreak/>
        <w:t>Breve histórico do bem cultural</w:t>
      </w:r>
      <w:r w:rsidRPr="00222120">
        <w:rPr>
          <w:rStyle w:val="Refdenotaderodap"/>
          <w:rFonts w:ascii="Garamond" w:hAnsi="Garamond" w:cs="Garamond"/>
          <w:b/>
          <w:bCs/>
        </w:rPr>
        <w:footnoteReference w:id="7"/>
      </w:r>
      <w:r w:rsidRPr="00222120">
        <w:rPr>
          <w:rFonts w:ascii="Garamond" w:hAnsi="Garamond" w:cs="Garamond"/>
          <w:b/>
          <w:bCs/>
        </w:rPr>
        <w:t>:</w:t>
      </w:r>
    </w:p>
    <w:p w:rsidR="002B14BD" w:rsidRPr="00222120" w:rsidRDefault="002B14BD">
      <w:pPr>
        <w:pStyle w:val="Standard"/>
        <w:spacing w:line="276" w:lineRule="auto"/>
        <w:ind w:right="68" w:firstLine="709"/>
        <w:jc w:val="both"/>
        <w:rPr>
          <w:rFonts w:ascii="Garamond" w:hAnsi="Garamond" w:cs="Garamond"/>
        </w:rPr>
      </w:pPr>
    </w:p>
    <w:p w:rsidR="002B14BD" w:rsidRDefault="00EB2337">
      <w:pPr>
        <w:pStyle w:val="Standard"/>
        <w:spacing w:line="276" w:lineRule="auto"/>
        <w:ind w:firstLine="708"/>
        <w:jc w:val="both"/>
        <w:rPr>
          <w:rFonts w:ascii="Garamond" w:hAnsi="Garamond" w:cs="Garamond"/>
          <w:lang w:val="pt-PT"/>
        </w:rPr>
      </w:pPr>
      <w:r w:rsidRPr="00222120">
        <w:rPr>
          <w:rFonts w:ascii="Garamond" w:hAnsi="Garamond" w:cs="Garamond"/>
          <w:lang w:val="pt-PT"/>
        </w:rPr>
        <w:t>Edificação em estilo modernista ergu</w:t>
      </w:r>
      <w:r w:rsidR="005542CF">
        <w:rPr>
          <w:rFonts w:ascii="Garamond" w:hAnsi="Garamond" w:cs="Garamond"/>
          <w:lang w:val="pt-PT"/>
        </w:rPr>
        <w:t>ida na década de 1950, projetada</w:t>
      </w:r>
      <w:r w:rsidRPr="00222120">
        <w:rPr>
          <w:rFonts w:ascii="Garamond" w:hAnsi="Garamond" w:cs="Garamond"/>
          <w:lang w:val="pt-PT"/>
        </w:rPr>
        <w:t xml:space="preserve"> pelo engenheiro Raymundo César Freire, importante engenheiro brasileiro e autor do livro sobre sistemas estruturais.</w:t>
      </w:r>
    </w:p>
    <w:p w:rsidR="005542CF" w:rsidRPr="00222120" w:rsidRDefault="005542CF">
      <w:pPr>
        <w:pStyle w:val="Standard"/>
        <w:spacing w:line="276" w:lineRule="auto"/>
        <w:ind w:firstLine="708"/>
        <w:jc w:val="both"/>
        <w:rPr>
          <w:rFonts w:ascii="Garamond" w:hAnsi="Garamond" w:cs="Garamond"/>
          <w:lang w:val="pt-PT"/>
        </w:rPr>
      </w:pPr>
    </w:p>
    <w:p w:rsidR="002B14BD" w:rsidRDefault="00EB2337">
      <w:pPr>
        <w:pStyle w:val="Standard"/>
        <w:spacing w:line="276" w:lineRule="auto"/>
        <w:ind w:firstLine="708"/>
        <w:jc w:val="both"/>
        <w:rPr>
          <w:rFonts w:ascii="Garamond" w:hAnsi="Garamond" w:cs="Garamond"/>
          <w:lang w:val="pt-PT"/>
        </w:rPr>
      </w:pPr>
      <w:r w:rsidRPr="00222120">
        <w:rPr>
          <w:rFonts w:ascii="Garamond" w:hAnsi="Garamond" w:cs="Garamond"/>
          <w:lang w:val="pt-PT"/>
        </w:rPr>
        <w:t>Um dos maiores empreendedores do Hospital foi o médico Dr. Ari Guimarães, filho de Hodonato Guimarães.</w:t>
      </w:r>
    </w:p>
    <w:p w:rsidR="005542CF" w:rsidRPr="00222120" w:rsidRDefault="005542CF">
      <w:pPr>
        <w:pStyle w:val="Standard"/>
        <w:spacing w:line="276" w:lineRule="auto"/>
        <w:ind w:firstLine="708"/>
        <w:jc w:val="both"/>
        <w:rPr>
          <w:rFonts w:ascii="Garamond" w:hAnsi="Garamond" w:cs="Garamond"/>
          <w:lang w:val="pt-PT"/>
        </w:rPr>
      </w:pPr>
    </w:p>
    <w:p w:rsidR="005542CF" w:rsidRDefault="00EB2337">
      <w:pPr>
        <w:pStyle w:val="Standard"/>
        <w:spacing w:line="276" w:lineRule="auto"/>
        <w:ind w:firstLine="708"/>
        <w:jc w:val="both"/>
        <w:rPr>
          <w:rFonts w:ascii="Garamond" w:hAnsi="Garamond" w:cs="Garamond"/>
          <w:lang w:val="pt-PT"/>
        </w:rPr>
      </w:pPr>
      <w:r w:rsidRPr="00222120">
        <w:rPr>
          <w:rFonts w:ascii="Garamond" w:hAnsi="Garamond" w:cs="Garamond"/>
          <w:lang w:val="pt-PT"/>
        </w:rPr>
        <w:t>O Hospital foi fruto da união de profissionais da saúde, formando cooperativa de médicos que fez nascer em área pouco habitada a majestosa construção. O local escolhido para a implantação do edifício foi na cab</w:t>
      </w:r>
      <w:r w:rsidR="005542CF">
        <w:rPr>
          <w:rFonts w:ascii="Garamond" w:hAnsi="Garamond" w:cs="Garamond"/>
          <w:lang w:val="pt-PT"/>
        </w:rPr>
        <w:t>eceira da antiga L</w:t>
      </w:r>
      <w:r w:rsidRPr="00222120">
        <w:rPr>
          <w:rFonts w:ascii="Garamond" w:hAnsi="Garamond" w:cs="Garamond"/>
          <w:lang w:val="pt-PT"/>
        </w:rPr>
        <w:t xml:space="preserve">agoa dos </w:t>
      </w:r>
      <w:r w:rsidR="005542CF">
        <w:rPr>
          <w:rFonts w:ascii="Garamond" w:hAnsi="Garamond" w:cs="Garamond"/>
          <w:lang w:val="pt-PT"/>
        </w:rPr>
        <w:t>P</w:t>
      </w:r>
      <w:r w:rsidRPr="00222120">
        <w:rPr>
          <w:rFonts w:ascii="Garamond" w:hAnsi="Garamond" w:cs="Garamond"/>
          <w:lang w:val="pt-PT"/>
        </w:rPr>
        <w:t xml:space="preserve">atos, formação que deu nome a cidade de Patos de Minas. O edifício dominou o cenário por décadas até o adensamento das quadras adjacentes. </w:t>
      </w:r>
    </w:p>
    <w:p w:rsidR="005542CF" w:rsidRDefault="005542CF">
      <w:pPr>
        <w:pStyle w:val="Standard"/>
        <w:spacing w:line="276" w:lineRule="auto"/>
        <w:ind w:firstLine="708"/>
        <w:jc w:val="both"/>
        <w:rPr>
          <w:rFonts w:ascii="Garamond" w:hAnsi="Garamond" w:cs="Garamond"/>
          <w:lang w:val="pt-PT"/>
        </w:rPr>
      </w:pPr>
    </w:p>
    <w:p w:rsidR="002B14BD" w:rsidRDefault="00EB2337">
      <w:pPr>
        <w:pStyle w:val="Standard"/>
        <w:spacing w:line="276" w:lineRule="auto"/>
        <w:ind w:firstLine="708"/>
        <w:jc w:val="both"/>
        <w:rPr>
          <w:rFonts w:ascii="Garamond" w:hAnsi="Garamond" w:cs="Garamond"/>
          <w:lang w:val="pt-PT"/>
        </w:rPr>
      </w:pPr>
      <w:r w:rsidRPr="00222120">
        <w:rPr>
          <w:rFonts w:ascii="Garamond" w:hAnsi="Garamond" w:cs="Garamond"/>
          <w:lang w:val="pt-PT"/>
        </w:rPr>
        <w:t>Fundado em 16 de março de 1958, o Hospital tornou-se importante referência para toda a região do Alto Paranaíba.</w:t>
      </w:r>
    </w:p>
    <w:p w:rsidR="00E9721E" w:rsidRDefault="00E9721E">
      <w:pPr>
        <w:pStyle w:val="Standard"/>
        <w:spacing w:line="276" w:lineRule="auto"/>
        <w:ind w:firstLine="708"/>
        <w:jc w:val="both"/>
        <w:rPr>
          <w:rFonts w:ascii="Garamond" w:hAnsi="Garamond" w:cs="Garamond"/>
          <w:lang w:val="pt-PT"/>
        </w:rPr>
      </w:pPr>
    </w:p>
    <w:tbl>
      <w:tblPr>
        <w:tblStyle w:val="Tabelacomgrade"/>
        <w:tblW w:w="0" w:type="auto"/>
        <w:tblLook w:val="04A0" w:firstRow="1" w:lastRow="0" w:firstColumn="1" w:lastColumn="0" w:noHBand="0" w:noVBand="1"/>
      </w:tblPr>
      <w:tblGrid>
        <w:gridCol w:w="8644"/>
      </w:tblGrid>
      <w:tr w:rsidR="00E9721E" w:rsidTr="00E9721E">
        <w:tc>
          <w:tcPr>
            <w:tcW w:w="8644" w:type="dxa"/>
          </w:tcPr>
          <w:p w:rsidR="00E9721E" w:rsidRDefault="00E9721E" w:rsidP="00E9721E">
            <w:pPr>
              <w:pStyle w:val="Standard"/>
              <w:spacing w:line="276" w:lineRule="auto"/>
              <w:jc w:val="center"/>
              <w:rPr>
                <w:rFonts w:ascii="Garamond" w:hAnsi="Garamond" w:cs="Garamond"/>
                <w:lang w:val="pt-PT"/>
              </w:rPr>
            </w:pPr>
            <w:r>
              <w:rPr>
                <w:noProof/>
                <w:lang w:eastAsia="pt-BR"/>
              </w:rPr>
              <w:drawing>
                <wp:inline distT="0" distB="0" distL="0" distR="0" wp14:anchorId="4C9599E8" wp14:editId="223E3CDD">
                  <wp:extent cx="4838700" cy="3229832"/>
                  <wp:effectExtent l="0" t="0" r="0" b="8890"/>
                  <wp:docPr id="13" name="Imagem 13" descr="http://hnsf.com.br/dist/img/fotohistoricahn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nsf.com.br/dist/img/fotohistoricahns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3229832"/>
                          </a:xfrm>
                          <a:prstGeom prst="rect">
                            <a:avLst/>
                          </a:prstGeom>
                          <a:noFill/>
                          <a:ln>
                            <a:noFill/>
                          </a:ln>
                        </pic:spPr>
                      </pic:pic>
                    </a:graphicData>
                  </a:graphic>
                </wp:inline>
              </w:drawing>
            </w:r>
          </w:p>
        </w:tc>
      </w:tr>
      <w:tr w:rsidR="00E9721E" w:rsidRPr="003D0263" w:rsidTr="00E9721E">
        <w:tc>
          <w:tcPr>
            <w:tcW w:w="8644" w:type="dxa"/>
          </w:tcPr>
          <w:p w:rsidR="00E9721E" w:rsidRPr="003D0263" w:rsidRDefault="00E9721E">
            <w:pPr>
              <w:pStyle w:val="Standard"/>
              <w:spacing w:line="276" w:lineRule="auto"/>
              <w:jc w:val="both"/>
              <w:rPr>
                <w:rFonts w:ascii="Garamond" w:hAnsi="Garamond" w:cs="Garamond"/>
                <w:sz w:val="22"/>
                <w:szCs w:val="22"/>
                <w:lang w:val="pt-PT"/>
              </w:rPr>
            </w:pPr>
            <w:r w:rsidRPr="003D0263">
              <w:rPr>
                <w:rFonts w:ascii="Garamond" w:hAnsi="Garamond" w:cs="Garamond"/>
                <w:sz w:val="22"/>
                <w:szCs w:val="22"/>
                <w:lang w:val="pt-PT"/>
              </w:rPr>
              <w:t>Figura 03 – Imagem antiga do Hospital.</w:t>
            </w:r>
          </w:p>
        </w:tc>
      </w:tr>
    </w:tbl>
    <w:p w:rsidR="00E9721E" w:rsidRDefault="00E9721E" w:rsidP="00E9721E">
      <w:pPr>
        <w:pStyle w:val="Standard"/>
        <w:spacing w:line="276" w:lineRule="auto"/>
        <w:jc w:val="both"/>
        <w:rPr>
          <w:rFonts w:ascii="Garamond" w:hAnsi="Garamond" w:cs="Garamond"/>
          <w:b/>
          <w:bCs/>
        </w:rPr>
      </w:pPr>
    </w:p>
    <w:p w:rsidR="00CE50F5" w:rsidRDefault="00CE50F5" w:rsidP="00CE50F5">
      <w:pPr>
        <w:pStyle w:val="Standard"/>
        <w:spacing w:line="276" w:lineRule="auto"/>
        <w:jc w:val="both"/>
        <w:rPr>
          <w:rFonts w:ascii="Garamond" w:hAnsi="Garamond" w:cs="Garamond"/>
          <w:b/>
          <w:bCs/>
        </w:rPr>
      </w:pPr>
    </w:p>
    <w:p w:rsidR="00CE50F5" w:rsidRDefault="00CE50F5" w:rsidP="00CE50F5">
      <w:pPr>
        <w:pStyle w:val="Standard"/>
        <w:spacing w:line="276" w:lineRule="auto"/>
        <w:jc w:val="both"/>
        <w:rPr>
          <w:rFonts w:ascii="Garamond" w:hAnsi="Garamond" w:cs="Garamond"/>
          <w:b/>
          <w:bCs/>
        </w:rPr>
      </w:pPr>
    </w:p>
    <w:p w:rsidR="00CE50F5" w:rsidRDefault="00CE50F5" w:rsidP="00CE50F5">
      <w:pPr>
        <w:pStyle w:val="Standard"/>
        <w:spacing w:line="276" w:lineRule="auto"/>
        <w:jc w:val="both"/>
        <w:rPr>
          <w:rFonts w:ascii="Garamond" w:hAnsi="Garamond" w:cs="Garamond"/>
          <w:b/>
          <w:bCs/>
        </w:rPr>
      </w:pPr>
    </w:p>
    <w:p w:rsidR="00CE50F5" w:rsidRDefault="00CE50F5" w:rsidP="00CE50F5">
      <w:pPr>
        <w:pStyle w:val="Standard"/>
        <w:spacing w:line="276" w:lineRule="auto"/>
        <w:jc w:val="both"/>
        <w:rPr>
          <w:rFonts w:ascii="Garamond" w:hAnsi="Garamond" w:cs="Garamond"/>
          <w:b/>
          <w:bCs/>
        </w:rPr>
      </w:pPr>
    </w:p>
    <w:p w:rsidR="00E9721E" w:rsidRPr="00222120" w:rsidRDefault="00E9721E" w:rsidP="00E9721E">
      <w:pPr>
        <w:pStyle w:val="Standard"/>
        <w:numPr>
          <w:ilvl w:val="0"/>
          <w:numId w:val="4"/>
        </w:numPr>
        <w:spacing w:line="276" w:lineRule="auto"/>
        <w:jc w:val="both"/>
        <w:rPr>
          <w:rFonts w:ascii="Garamond" w:hAnsi="Garamond" w:cs="Garamond"/>
          <w:b/>
          <w:bCs/>
        </w:rPr>
      </w:pPr>
      <w:r w:rsidRPr="00222120">
        <w:rPr>
          <w:rFonts w:ascii="Garamond" w:hAnsi="Garamond" w:cs="Garamond"/>
          <w:b/>
          <w:bCs/>
        </w:rPr>
        <w:lastRenderedPageBreak/>
        <w:t>Análise técnica:</w:t>
      </w:r>
    </w:p>
    <w:p w:rsidR="00CE50F5" w:rsidRDefault="00CE50F5" w:rsidP="00E9721E">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E9721E" w:rsidRDefault="00E9721E" w:rsidP="00E9721E">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E9721E">
        <w:rPr>
          <w:rFonts w:ascii="Garamond" w:eastAsia="Times New Roman" w:hAnsi="Garamond" w:cs="Times New Roman"/>
          <w:kern w:val="0"/>
          <w:lang w:eastAsia="pt-BR" w:bidi="ar-SA"/>
        </w:rPr>
        <w:t xml:space="preserve">O imóvel em análise localiza-se na </w:t>
      </w:r>
      <w:r>
        <w:rPr>
          <w:rFonts w:ascii="Garamond" w:eastAsia="Times New Roman" w:hAnsi="Garamond" w:cs="Times New Roman"/>
          <w:kern w:val="0"/>
          <w:lang w:eastAsia="pt-BR" w:bidi="ar-SA"/>
        </w:rPr>
        <w:t>Rua Padre Caldeira nº 386, no centro da cidade de Patos de Minas.</w:t>
      </w:r>
      <w:r w:rsidRPr="00E9721E">
        <w:rPr>
          <w:rFonts w:ascii="Garamond" w:eastAsia="Times New Roman" w:hAnsi="Garamond" w:cs="Times New Roman"/>
          <w:kern w:val="0"/>
          <w:lang w:eastAsia="pt-BR" w:bidi="ar-SA"/>
        </w:rPr>
        <w:t xml:space="preserve"> A via é </w:t>
      </w:r>
      <w:r w:rsidR="00C816F0">
        <w:rPr>
          <w:rFonts w:ascii="Garamond" w:eastAsia="Times New Roman" w:hAnsi="Garamond" w:cs="Times New Roman"/>
          <w:kern w:val="0"/>
          <w:lang w:eastAsia="pt-BR" w:bidi="ar-SA"/>
        </w:rPr>
        <w:t xml:space="preserve">estreita, de mão única, onde predominam edificações comerciais, com tendência a verticalização. </w:t>
      </w:r>
    </w:p>
    <w:p w:rsidR="00C816F0" w:rsidRPr="00E9721E" w:rsidRDefault="00C816F0" w:rsidP="00E9721E">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C816F0" w:rsidRDefault="00E9721E" w:rsidP="00C816F0">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E9721E">
        <w:rPr>
          <w:rFonts w:ascii="Garamond" w:eastAsia="Times New Roman" w:hAnsi="Garamond" w:cs="Times New Roman"/>
          <w:kern w:val="0"/>
          <w:lang w:eastAsia="pt-BR" w:bidi="ar-SA"/>
        </w:rPr>
        <w:t xml:space="preserve">De características modernistas, possui sistema construtivo misto de tijolos maciços e concreto armado. O conjunto de colunas </w:t>
      </w:r>
      <w:r w:rsidR="00C816F0">
        <w:rPr>
          <w:rFonts w:ascii="Garamond" w:eastAsia="Times New Roman" w:hAnsi="Garamond" w:cs="Times New Roman"/>
          <w:kern w:val="0"/>
          <w:lang w:eastAsia="pt-BR" w:bidi="ar-SA"/>
        </w:rPr>
        <w:t xml:space="preserve">e os </w:t>
      </w:r>
      <w:proofErr w:type="spellStart"/>
      <w:r w:rsidR="00C816F0">
        <w:rPr>
          <w:rFonts w:ascii="Garamond" w:eastAsia="Times New Roman" w:hAnsi="Garamond" w:cs="Times New Roman"/>
          <w:kern w:val="0"/>
          <w:lang w:eastAsia="pt-BR" w:bidi="ar-SA"/>
        </w:rPr>
        <w:t>cobogós</w:t>
      </w:r>
      <w:proofErr w:type="spellEnd"/>
      <w:r w:rsidR="00C816F0">
        <w:rPr>
          <w:rFonts w:ascii="Garamond" w:eastAsia="Times New Roman" w:hAnsi="Garamond" w:cs="Times New Roman"/>
          <w:kern w:val="0"/>
          <w:lang w:eastAsia="pt-BR" w:bidi="ar-SA"/>
        </w:rPr>
        <w:t>, característicos da arquitetura m</w:t>
      </w:r>
      <w:r w:rsidR="00C816F0">
        <w:rPr>
          <w:rFonts w:ascii="Garamond" w:eastAsia="Times New Roman" w:hAnsi="Garamond" w:cs="Times New Roman"/>
          <w:kern w:val="0"/>
          <w:lang w:eastAsia="pt-BR" w:bidi="ar-SA"/>
        </w:rPr>
        <w:t>o</w:t>
      </w:r>
      <w:r w:rsidR="00C816F0">
        <w:rPr>
          <w:rFonts w:ascii="Garamond" w:eastAsia="Times New Roman" w:hAnsi="Garamond" w:cs="Times New Roman"/>
          <w:kern w:val="0"/>
          <w:lang w:eastAsia="pt-BR" w:bidi="ar-SA"/>
        </w:rPr>
        <w:t xml:space="preserve">dernista, compõem e caracterizam a fachada frontal. </w:t>
      </w:r>
      <w:r w:rsidR="009B4DD5">
        <w:rPr>
          <w:rFonts w:ascii="Garamond" w:eastAsia="Times New Roman" w:hAnsi="Garamond" w:cs="Times New Roman"/>
          <w:kern w:val="0"/>
          <w:lang w:eastAsia="pt-BR" w:bidi="ar-SA"/>
        </w:rPr>
        <w:t>Implanta-se em terreno em declive, aproveitando o desnível natural para promover acessos de veículos e pedestres em níveis diferenciados, sendo o acesso de pedestres resolvido através de rampa suspensa, que pr</w:t>
      </w:r>
      <w:r w:rsidR="009B4DD5">
        <w:rPr>
          <w:rFonts w:ascii="Garamond" w:eastAsia="Times New Roman" w:hAnsi="Garamond" w:cs="Times New Roman"/>
          <w:kern w:val="0"/>
          <w:lang w:eastAsia="pt-BR" w:bidi="ar-SA"/>
        </w:rPr>
        <w:t>o</w:t>
      </w:r>
      <w:r w:rsidR="009B4DD5">
        <w:rPr>
          <w:rFonts w:ascii="Garamond" w:eastAsia="Times New Roman" w:hAnsi="Garamond" w:cs="Times New Roman"/>
          <w:kern w:val="0"/>
          <w:lang w:eastAsia="pt-BR" w:bidi="ar-SA"/>
        </w:rPr>
        <w:t xml:space="preserve">move proteção (cobertura) dos veículos no nível inferior. </w:t>
      </w:r>
      <w:r w:rsidR="00B94877">
        <w:rPr>
          <w:rFonts w:ascii="Garamond" w:eastAsia="Times New Roman" w:hAnsi="Garamond" w:cs="Times New Roman"/>
          <w:kern w:val="0"/>
          <w:lang w:eastAsia="pt-BR" w:bidi="ar-SA"/>
        </w:rPr>
        <w:t xml:space="preserve">A fachada frontal desenvolve-se em curva, afastada </w:t>
      </w:r>
      <w:r w:rsidR="001E4BD0">
        <w:rPr>
          <w:rFonts w:ascii="Garamond" w:eastAsia="Times New Roman" w:hAnsi="Garamond" w:cs="Times New Roman"/>
          <w:kern w:val="0"/>
          <w:lang w:eastAsia="pt-BR" w:bidi="ar-SA"/>
        </w:rPr>
        <w:t>d</w:t>
      </w:r>
      <w:r w:rsidR="00B94877">
        <w:rPr>
          <w:rFonts w:ascii="Garamond" w:eastAsia="Times New Roman" w:hAnsi="Garamond" w:cs="Times New Roman"/>
          <w:kern w:val="0"/>
          <w:lang w:eastAsia="pt-BR" w:bidi="ar-SA"/>
        </w:rPr>
        <w:t xml:space="preserve">o alinhamento do terreno, o que destaca o prédio do entorno, onde a maior parte das edificações insere-se junto ao alinhamento frontal. </w:t>
      </w:r>
    </w:p>
    <w:p w:rsidR="00B94877" w:rsidRPr="00E9721E" w:rsidRDefault="00B94877" w:rsidP="00C816F0">
      <w:pPr>
        <w:widowControl/>
        <w:suppressAutoHyphens w:val="0"/>
        <w:autoSpaceDN/>
        <w:spacing w:line="276" w:lineRule="auto"/>
        <w:ind w:firstLine="360"/>
        <w:jc w:val="both"/>
        <w:textAlignment w:val="auto"/>
        <w:rPr>
          <w:rFonts w:ascii="Garamond" w:hAnsi="Garamond" w:cs="Garamond"/>
        </w:rPr>
      </w:pPr>
    </w:p>
    <w:tbl>
      <w:tblPr>
        <w:tblStyle w:val="Tabelacomgrade"/>
        <w:tblW w:w="9180" w:type="dxa"/>
        <w:tblLayout w:type="fixed"/>
        <w:tblLook w:val="04A0" w:firstRow="1" w:lastRow="0" w:firstColumn="1" w:lastColumn="0" w:noHBand="0" w:noVBand="1"/>
      </w:tblPr>
      <w:tblGrid>
        <w:gridCol w:w="4361"/>
        <w:gridCol w:w="4801"/>
        <w:gridCol w:w="18"/>
      </w:tblGrid>
      <w:tr w:rsidR="005542CF" w:rsidTr="001E4BD0">
        <w:trPr>
          <w:gridAfter w:val="1"/>
          <w:wAfter w:w="18" w:type="dxa"/>
          <w:trHeight w:val="2972"/>
        </w:trPr>
        <w:tc>
          <w:tcPr>
            <w:tcW w:w="4361" w:type="dxa"/>
          </w:tcPr>
          <w:p w:rsidR="005542CF" w:rsidRDefault="005542CF" w:rsidP="005542CF">
            <w:pPr>
              <w:pStyle w:val="Standard"/>
              <w:rPr>
                <w:rFonts w:ascii="Garamond" w:hAnsi="Garamond" w:cs="Garamond"/>
                <w:b/>
                <w:bCs/>
              </w:rPr>
            </w:pPr>
            <w:r w:rsidRPr="00222120">
              <w:rPr>
                <w:rFonts w:ascii="Garamond" w:hAnsi="Garamond" w:cs="Garamond"/>
                <w:noProof/>
                <w:sz w:val="20"/>
                <w:szCs w:val="20"/>
                <w:lang w:eastAsia="pt-BR"/>
              </w:rPr>
              <w:drawing>
                <wp:anchor distT="0" distB="0" distL="114300" distR="114300" simplePos="0" relativeHeight="251659264" behindDoc="0" locked="0" layoutInCell="1" allowOverlap="1" wp14:anchorId="49F3E88A" wp14:editId="2D2CC58F">
                  <wp:simplePos x="0" y="0"/>
                  <wp:positionH relativeFrom="column">
                    <wp:posOffset>-60960</wp:posOffset>
                  </wp:positionH>
                  <wp:positionV relativeFrom="paragraph">
                    <wp:posOffset>2540</wp:posOffset>
                  </wp:positionV>
                  <wp:extent cx="2743200" cy="1885950"/>
                  <wp:effectExtent l="0" t="0" r="0" b="0"/>
                  <wp:wrapTopAndBottom/>
                  <wp:docPr id="11"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l="25037" t="19994" r="20034" b="9991"/>
                          <a:stretch>
                            <a:fillRect/>
                          </a:stretch>
                        </pic:blipFill>
                        <pic:spPr>
                          <a:xfrm>
                            <a:off x="0" y="0"/>
                            <a:ext cx="2743200" cy="1885950"/>
                          </a:xfrm>
                          <a:prstGeom prst="rect">
                            <a:avLst/>
                          </a:prstGeom>
                        </pic:spPr>
                      </pic:pic>
                    </a:graphicData>
                  </a:graphic>
                  <wp14:sizeRelH relativeFrom="margin">
                    <wp14:pctWidth>0</wp14:pctWidth>
                  </wp14:sizeRelH>
                  <wp14:sizeRelV relativeFrom="margin">
                    <wp14:pctHeight>0</wp14:pctHeight>
                  </wp14:sizeRelV>
                </wp:anchor>
              </w:drawing>
            </w:r>
          </w:p>
        </w:tc>
        <w:tc>
          <w:tcPr>
            <w:tcW w:w="4801" w:type="dxa"/>
          </w:tcPr>
          <w:p w:rsidR="005542CF" w:rsidRDefault="005542CF" w:rsidP="005542CF">
            <w:pPr>
              <w:pStyle w:val="Standard"/>
              <w:rPr>
                <w:rFonts w:ascii="Garamond" w:hAnsi="Garamond" w:cs="Garamond"/>
                <w:b/>
                <w:bCs/>
              </w:rPr>
            </w:pPr>
            <w:r w:rsidRPr="00222120">
              <w:rPr>
                <w:rFonts w:ascii="Garamond" w:hAnsi="Garamond" w:cs="Garamond"/>
                <w:noProof/>
                <w:sz w:val="20"/>
                <w:szCs w:val="20"/>
                <w:lang w:eastAsia="pt-BR"/>
              </w:rPr>
              <w:drawing>
                <wp:anchor distT="0" distB="0" distL="114300" distR="114300" simplePos="0" relativeHeight="251661312" behindDoc="0" locked="0" layoutInCell="1" allowOverlap="1" wp14:anchorId="29A3C71B" wp14:editId="0B1A2D94">
                  <wp:simplePos x="0" y="0"/>
                  <wp:positionH relativeFrom="column">
                    <wp:posOffset>132080</wp:posOffset>
                  </wp:positionH>
                  <wp:positionV relativeFrom="paragraph">
                    <wp:posOffset>5715</wp:posOffset>
                  </wp:positionV>
                  <wp:extent cx="2781300" cy="1885950"/>
                  <wp:effectExtent l="0" t="0" r="0" b="0"/>
                  <wp:wrapTopAndBottom/>
                  <wp:docPr id="12" name="figura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l="25037" t="19994" r="20034" b="14992"/>
                          <a:stretch>
                            <a:fillRect/>
                          </a:stretch>
                        </pic:blipFill>
                        <pic:spPr>
                          <a:xfrm>
                            <a:off x="0" y="0"/>
                            <a:ext cx="2781300" cy="1885950"/>
                          </a:xfrm>
                          <a:prstGeom prst="rect">
                            <a:avLst/>
                          </a:prstGeom>
                        </pic:spPr>
                      </pic:pic>
                    </a:graphicData>
                  </a:graphic>
                  <wp14:sizeRelH relativeFrom="margin">
                    <wp14:pctWidth>0</wp14:pctWidth>
                  </wp14:sizeRelH>
                  <wp14:sizeRelV relativeFrom="margin">
                    <wp14:pctHeight>0</wp14:pctHeight>
                  </wp14:sizeRelV>
                </wp:anchor>
              </w:drawing>
            </w:r>
          </w:p>
        </w:tc>
      </w:tr>
      <w:tr w:rsidR="005542CF" w:rsidRPr="005542CF" w:rsidTr="001E4BD0">
        <w:trPr>
          <w:gridAfter w:val="1"/>
          <w:wAfter w:w="18" w:type="dxa"/>
        </w:trPr>
        <w:tc>
          <w:tcPr>
            <w:tcW w:w="4361" w:type="dxa"/>
          </w:tcPr>
          <w:p w:rsidR="005542CF" w:rsidRPr="005542CF" w:rsidRDefault="001E4BD0" w:rsidP="005542CF">
            <w:pPr>
              <w:pStyle w:val="Standard"/>
              <w:rPr>
                <w:rFonts w:ascii="Garamond" w:hAnsi="Garamond" w:cs="Garamond"/>
                <w:bCs/>
                <w:sz w:val="22"/>
                <w:szCs w:val="22"/>
              </w:rPr>
            </w:pPr>
            <w:r>
              <w:rPr>
                <w:rFonts w:ascii="Garamond" w:hAnsi="Garamond" w:cs="Garamond"/>
                <w:bCs/>
                <w:sz w:val="22"/>
                <w:szCs w:val="22"/>
              </w:rPr>
              <w:t>Figura 0</w:t>
            </w:r>
            <w:r w:rsidR="003D0263">
              <w:rPr>
                <w:rFonts w:ascii="Garamond" w:hAnsi="Garamond" w:cs="Garamond"/>
                <w:bCs/>
                <w:sz w:val="22"/>
                <w:szCs w:val="22"/>
              </w:rPr>
              <w:t>4</w:t>
            </w:r>
            <w:r w:rsidR="005542CF" w:rsidRPr="005542CF">
              <w:rPr>
                <w:rFonts w:ascii="Garamond" w:hAnsi="Garamond" w:cs="Garamond"/>
                <w:bCs/>
                <w:sz w:val="22"/>
                <w:szCs w:val="22"/>
              </w:rPr>
              <w:t xml:space="preserve"> – Imagem da fachada do Hospital, datada de 2001.</w:t>
            </w:r>
          </w:p>
        </w:tc>
        <w:tc>
          <w:tcPr>
            <w:tcW w:w="4801" w:type="dxa"/>
          </w:tcPr>
          <w:p w:rsidR="005542CF" w:rsidRPr="005542CF" w:rsidRDefault="003D0263" w:rsidP="005542CF">
            <w:pPr>
              <w:pStyle w:val="Standard"/>
              <w:rPr>
                <w:rFonts w:ascii="Garamond" w:hAnsi="Garamond" w:cs="Garamond"/>
                <w:bCs/>
                <w:sz w:val="22"/>
                <w:szCs w:val="22"/>
              </w:rPr>
            </w:pPr>
            <w:r>
              <w:rPr>
                <w:rFonts w:ascii="Garamond" w:hAnsi="Garamond" w:cs="Garamond"/>
                <w:bCs/>
                <w:sz w:val="22"/>
                <w:szCs w:val="22"/>
              </w:rPr>
              <w:t>Figura 05</w:t>
            </w:r>
            <w:r w:rsidR="005542CF" w:rsidRPr="005542CF">
              <w:rPr>
                <w:rFonts w:ascii="Garamond" w:hAnsi="Garamond" w:cs="Garamond"/>
                <w:bCs/>
                <w:sz w:val="22"/>
                <w:szCs w:val="22"/>
              </w:rPr>
              <w:t xml:space="preserve"> – Fachada dos fundos, datada de 2001.</w:t>
            </w:r>
          </w:p>
        </w:tc>
      </w:tr>
      <w:tr w:rsidR="00E9721E" w:rsidTr="001E4BD0">
        <w:tc>
          <w:tcPr>
            <w:tcW w:w="9180" w:type="dxa"/>
            <w:gridSpan w:val="3"/>
          </w:tcPr>
          <w:p w:rsidR="00E9721E" w:rsidRDefault="00E9721E" w:rsidP="00E9721E">
            <w:pPr>
              <w:pStyle w:val="Standard"/>
              <w:spacing w:line="276" w:lineRule="auto"/>
              <w:jc w:val="center"/>
              <w:rPr>
                <w:rFonts w:ascii="Garamond" w:hAnsi="Garamond" w:cs="Garamond"/>
                <w:b/>
                <w:bCs/>
              </w:rPr>
            </w:pPr>
            <w:r>
              <w:rPr>
                <w:noProof/>
                <w:lang w:eastAsia="pt-BR"/>
              </w:rPr>
              <w:drawing>
                <wp:inline distT="0" distB="0" distL="0" distR="0" wp14:anchorId="7FF1BB4F" wp14:editId="77ABD482">
                  <wp:extent cx="4199311" cy="2803041"/>
                  <wp:effectExtent l="0" t="0" r="0" b="0"/>
                  <wp:docPr id="17" name="Imagem 17" descr="http://hnsf.com.br/dist/img/fotohistoricahnsfrec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nsf.com.br/dist/img/fotohistoricahnsfrec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639" cy="2804595"/>
                          </a:xfrm>
                          <a:prstGeom prst="rect">
                            <a:avLst/>
                          </a:prstGeom>
                          <a:noFill/>
                          <a:ln>
                            <a:noFill/>
                          </a:ln>
                        </pic:spPr>
                      </pic:pic>
                    </a:graphicData>
                  </a:graphic>
                </wp:inline>
              </w:drawing>
            </w:r>
          </w:p>
        </w:tc>
      </w:tr>
      <w:tr w:rsidR="00E9721E" w:rsidRPr="003D0263" w:rsidTr="001E4BD0">
        <w:tc>
          <w:tcPr>
            <w:tcW w:w="9180" w:type="dxa"/>
            <w:gridSpan w:val="3"/>
          </w:tcPr>
          <w:p w:rsidR="00E9721E" w:rsidRPr="003D0263" w:rsidRDefault="003D0263">
            <w:pPr>
              <w:pStyle w:val="Standard"/>
              <w:spacing w:line="276" w:lineRule="auto"/>
              <w:rPr>
                <w:rFonts w:ascii="Garamond" w:hAnsi="Garamond" w:cs="Garamond"/>
                <w:bCs/>
                <w:sz w:val="22"/>
                <w:szCs w:val="22"/>
              </w:rPr>
            </w:pPr>
            <w:r w:rsidRPr="003D0263">
              <w:rPr>
                <w:rFonts w:ascii="Garamond" w:hAnsi="Garamond" w:cs="Garamond"/>
                <w:bCs/>
                <w:sz w:val="22"/>
                <w:szCs w:val="22"/>
              </w:rPr>
              <w:t>Figura 06 – Fachada frontal do hospital, sem data.</w:t>
            </w:r>
          </w:p>
        </w:tc>
      </w:tr>
    </w:tbl>
    <w:p w:rsidR="003D0263" w:rsidRDefault="003D0263"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3D0263">
        <w:rPr>
          <w:rFonts w:ascii="Garamond" w:eastAsia="Times New Roman" w:hAnsi="Garamond" w:cs="Times New Roman"/>
          <w:kern w:val="0"/>
          <w:lang w:eastAsia="pt-BR" w:bidi="ar-SA"/>
        </w:rPr>
        <w:lastRenderedPageBreak/>
        <w:t>A edificação possui valor cultural</w:t>
      </w:r>
      <w:r w:rsidRPr="003D0263">
        <w:rPr>
          <w:rFonts w:ascii="Garamond" w:eastAsia="Times New Roman" w:hAnsi="Garamond" w:cs="Times New Roman"/>
          <w:kern w:val="0"/>
          <w:vertAlign w:val="superscript"/>
          <w:lang w:eastAsia="pt-BR" w:bidi="ar-SA"/>
        </w:rPr>
        <w:footnoteReference w:id="8"/>
      </w:r>
      <w:r w:rsidRPr="003D0263">
        <w:rPr>
          <w:rFonts w:ascii="Garamond" w:eastAsia="Times New Roman" w:hAnsi="Garamond" w:cs="Times New Roman"/>
          <w:kern w:val="0"/>
          <w:lang w:eastAsia="pt-BR" w:bidi="ar-SA"/>
        </w:rPr>
        <w:t>, que foi reconhecido pelo município ao seleci</w:t>
      </w:r>
      <w:r w:rsidRPr="003D0263">
        <w:rPr>
          <w:rFonts w:ascii="Garamond" w:eastAsia="Times New Roman" w:hAnsi="Garamond" w:cs="Times New Roman"/>
          <w:kern w:val="0"/>
          <w:lang w:eastAsia="pt-BR" w:bidi="ar-SA"/>
        </w:rPr>
        <w:t>o</w:t>
      </w:r>
      <w:r w:rsidRPr="003D0263">
        <w:rPr>
          <w:rFonts w:ascii="Garamond" w:eastAsia="Times New Roman" w:hAnsi="Garamond" w:cs="Times New Roman"/>
          <w:kern w:val="0"/>
          <w:lang w:eastAsia="pt-BR" w:bidi="ar-SA"/>
        </w:rPr>
        <w:t xml:space="preserve">ná-lo para integrar o Inventário do Patrimônio Cultural do município. </w:t>
      </w:r>
      <w:r w:rsidR="00387865">
        <w:rPr>
          <w:rFonts w:ascii="Garamond" w:eastAsia="Times New Roman" w:hAnsi="Garamond" w:cs="Times New Roman"/>
          <w:kern w:val="0"/>
          <w:lang w:eastAsia="pt-BR" w:bidi="ar-SA"/>
        </w:rPr>
        <w:t>A ficha de inventário foi elaborada no ano de 1999 e atualizada nos anos de 2004, 2008 e 2010. É informado que o prédio aparece como referência urbana em uma via estreita e com grande fluxo de veíc</w:t>
      </w:r>
      <w:r w:rsidR="00387865">
        <w:rPr>
          <w:rFonts w:ascii="Garamond" w:eastAsia="Times New Roman" w:hAnsi="Garamond" w:cs="Times New Roman"/>
          <w:kern w:val="0"/>
          <w:lang w:eastAsia="pt-BR" w:bidi="ar-SA"/>
        </w:rPr>
        <w:t>u</w:t>
      </w:r>
      <w:r w:rsidR="00387865">
        <w:rPr>
          <w:rFonts w:ascii="Garamond" w:eastAsia="Times New Roman" w:hAnsi="Garamond" w:cs="Times New Roman"/>
          <w:kern w:val="0"/>
          <w:lang w:eastAsia="pt-BR" w:bidi="ar-SA"/>
        </w:rPr>
        <w:t>los e, devido a sua implantação recuada, serve como “respiro” diante da alta densidade de massas construídas junto ao alinhamento da via.</w:t>
      </w:r>
    </w:p>
    <w:p w:rsidR="00B94877" w:rsidRDefault="00B94877"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9B4DD5" w:rsidRDefault="002C22FB"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Constatou-se que ao longo dos anos foram realizadas obras de acréscimo e de alt</w:t>
      </w:r>
      <w:r>
        <w:rPr>
          <w:rFonts w:ascii="Garamond" w:eastAsia="Times New Roman" w:hAnsi="Garamond" w:cs="Times New Roman"/>
          <w:kern w:val="0"/>
          <w:lang w:eastAsia="pt-BR" w:bidi="ar-SA"/>
        </w:rPr>
        <w:t>e</w:t>
      </w:r>
      <w:r>
        <w:rPr>
          <w:rFonts w:ascii="Garamond" w:eastAsia="Times New Roman" w:hAnsi="Garamond" w:cs="Times New Roman"/>
          <w:kern w:val="0"/>
          <w:lang w:eastAsia="pt-BR" w:bidi="ar-SA"/>
        </w:rPr>
        <w:t>rações na edificação, para adaptar e atualizar as instalações ao uso hospitalar existente, ca</w:t>
      </w:r>
      <w:r>
        <w:rPr>
          <w:rFonts w:ascii="Garamond" w:eastAsia="Times New Roman" w:hAnsi="Garamond" w:cs="Times New Roman"/>
          <w:kern w:val="0"/>
          <w:lang w:eastAsia="pt-BR" w:bidi="ar-SA"/>
        </w:rPr>
        <w:t>u</w:t>
      </w:r>
      <w:r>
        <w:rPr>
          <w:rFonts w:ascii="Garamond" w:eastAsia="Times New Roman" w:hAnsi="Garamond" w:cs="Times New Roman"/>
          <w:kern w:val="0"/>
          <w:lang w:eastAsia="pt-BR" w:bidi="ar-SA"/>
        </w:rPr>
        <w:t>sando descaracterizações do estilo arquitetônico original. Parte das alterações ocorreram antes do inventário do imóvel, entretanto</w:t>
      </w:r>
      <w:r w:rsidR="002873C5">
        <w:rPr>
          <w:rFonts w:ascii="Garamond" w:eastAsia="Times New Roman" w:hAnsi="Garamond" w:cs="Times New Roman"/>
          <w:kern w:val="0"/>
          <w:lang w:eastAsia="pt-BR" w:bidi="ar-SA"/>
        </w:rPr>
        <w:t xml:space="preserve">, </w:t>
      </w:r>
      <w:r w:rsidR="00B94877">
        <w:rPr>
          <w:rFonts w:ascii="Garamond" w:eastAsia="Times New Roman" w:hAnsi="Garamond" w:cs="Times New Roman"/>
          <w:kern w:val="0"/>
          <w:lang w:eastAsia="pt-BR" w:bidi="ar-SA"/>
        </w:rPr>
        <w:t xml:space="preserve">as ocorridas na fachada frontal se deram </w:t>
      </w:r>
      <w:r>
        <w:rPr>
          <w:rFonts w:ascii="Garamond" w:eastAsia="Times New Roman" w:hAnsi="Garamond" w:cs="Times New Roman"/>
          <w:kern w:val="0"/>
          <w:lang w:eastAsia="pt-BR" w:bidi="ar-SA"/>
        </w:rPr>
        <w:t xml:space="preserve">após </w:t>
      </w:r>
      <w:r w:rsidR="009B4DD5">
        <w:rPr>
          <w:rFonts w:ascii="Garamond" w:eastAsia="Times New Roman" w:hAnsi="Garamond" w:cs="Times New Roman"/>
          <w:kern w:val="0"/>
          <w:lang w:eastAsia="pt-BR" w:bidi="ar-SA"/>
        </w:rPr>
        <w:t>a proteção, conforme comprovado pela comparação das imagens atuais com a foto constante da ficha de inventário. Destacamos como principais intervenções:</w:t>
      </w:r>
    </w:p>
    <w:p w:rsidR="002873C5" w:rsidRDefault="002873C5"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9B4DD5" w:rsidRDefault="009B4DD5" w:rsidP="002873C5">
      <w:pPr>
        <w:pStyle w:val="PargrafodaLista"/>
        <w:widowControl/>
        <w:numPr>
          <w:ilvl w:val="0"/>
          <w:numId w:val="12"/>
        </w:numPr>
        <w:suppressAutoHyphens w:val="0"/>
        <w:autoSpaceDN/>
        <w:spacing w:line="276" w:lineRule="auto"/>
        <w:jc w:val="both"/>
        <w:textAlignment w:val="auto"/>
        <w:rPr>
          <w:rFonts w:ascii="Garamond" w:eastAsia="Times New Roman" w:hAnsi="Garamond" w:cs="Times New Roman"/>
          <w:kern w:val="0"/>
          <w:lang w:eastAsia="pt-BR" w:bidi="ar-SA"/>
        </w:rPr>
      </w:pPr>
      <w:r w:rsidRPr="002873C5">
        <w:rPr>
          <w:rFonts w:ascii="Garamond" w:eastAsia="Times New Roman" w:hAnsi="Garamond" w:cs="Times New Roman"/>
          <w:kern w:val="0"/>
          <w:lang w:eastAsia="pt-BR" w:bidi="ar-SA"/>
        </w:rPr>
        <w:t>Construção de um volume na lateral esquerda</w:t>
      </w:r>
      <w:r>
        <w:rPr>
          <w:rStyle w:val="Refdenotaderodap"/>
          <w:rFonts w:ascii="Garamond" w:eastAsia="Times New Roman" w:hAnsi="Garamond" w:cs="Times New Roman"/>
          <w:kern w:val="0"/>
          <w:lang w:eastAsia="pt-BR" w:bidi="ar-SA"/>
        </w:rPr>
        <w:footnoteReference w:id="9"/>
      </w:r>
      <w:r w:rsidRPr="002873C5">
        <w:rPr>
          <w:rFonts w:ascii="Garamond" w:eastAsia="Times New Roman" w:hAnsi="Garamond" w:cs="Times New Roman"/>
          <w:kern w:val="0"/>
          <w:lang w:eastAsia="pt-BR" w:bidi="ar-SA"/>
        </w:rPr>
        <w:t xml:space="preserve"> do prédio, sobre a área de estacionamento</w:t>
      </w:r>
      <w:r w:rsidR="00B94877" w:rsidRPr="002873C5">
        <w:rPr>
          <w:rFonts w:ascii="Garamond" w:eastAsia="Times New Roman" w:hAnsi="Garamond" w:cs="Times New Roman"/>
          <w:kern w:val="0"/>
          <w:lang w:eastAsia="pt-BR" w:bidi="ar-SA"/>
        </w:rPr>
        <w:t>, onde funciona um centro de diagnóstico por imagem.</w:t>
      </w:r>
    </w:p>
    <w:p w:rsidR="002873C5" w:rsidRPr="002873C5" w:rsidRDefault="002873C5" w:rsidP="002873C5">
      <w:pPr>
        <w:pStyle w:val="PargrafodaLista"/>
        <w:widowControl/>
        <w:suppressAutoHyphens w:val="0"/>
        <w:autoSpaceDN/>
        <w:spacing w:line="276" w:lineRule="auto"/>
        <w:ind w:left="1428"/>
        <w:jc w:val="both"/>
        <w:textAlignment w:val="auto"/>
        <w:rPr>
          <w:rFonts w:ascii="Garamond" w:eastAsia="Times New Roman" w:hAnsi="Garamond" w:cs="Times New Roman"/>
          <w:kern w:val="0"/>
          <w:lang w:eastAsia="pt-BR" w:bidi="ar-SA"/>
        </w:rPr>
      </w:pPr>
    </w:p>
    <w:p w:rsidR="002873C5" w:rsidRPr="002873C5" w:rsidRDefault="00B94877" w:rsidP="002873C5">
      <w:pPr>
        <w:pStyle w:val="PargrafodaLista"/>
        <w:widowControl/>
        <w:numPr>
          <w:ilvl w:val="0"/>
          <w:numId w:val="12"/>
        </w:numPr>
        <w:suppressAutoHyphens w:val="0"/>
        <w:autoSpaceDN/>
        <w:spacing w:line="276" w:lineRule="auto"/>
        <w:jc w:val="both"/>
        <w:textAlignment w:val="auto"/>
        <w:rPr>
          <w:rFonts w:ascii="Garamond" w:eastAsia="Times New Roman" w:hAnsi="Garamond" w:cs="Times New Roman"/>
          <w:kern w:val="0"/>
          <w:lang w:eastAsia="pt-BR" w:bidi="ar-SA"/>
        </w:rPr>
      </w:pPr>
      <w:r w:rsidRPr="002873C5">
        <w:rPr>
          <w:rFonts w:ascii="Garamond" w:eastAsia="Times New Roman" w:hAnsi="Garamond" w:cs="Times New Roman"/>
          <w:kern w:val="0"/>
          <w:lang w:eastAsia="pt-BR" w:bidi="ar-SA"/>
        </w:rPr>
        <w:t>Balcões da fachada frontal foram eliminados e sua área foi incorporada ao cômodo imediatamente adjacente. Para possibilitar esta intervenção, foram erguidas paredes em alvenaria, foram instaladas novas esquadrias (em al</w:t>
      </w:r>
      <w:r w:rsidRPr="002873C5">
        <w:rPr>
          <w:rFonts w:ascii="Garamond" w:eastAsia="Times New Roman" w:hAnsi="Garamond" w:cs="Times New Roman"/>
          <w:kern w:val="0"/>
          <w:lang w:eastAsia="pt-BR" w:bidi="ar-SA"/>
        </w:rPr>
        <w:t>u</w:t>
      </w:r>
      <w:r w:rsidRPr="002873C5">
        <w:rPr>
          <w:rFonts w:ascii="Garamond" w:eastAsia="Times New Roman" w:hAnsi="Garamond" w:cs="Times New Roman"/>
          <w:kern w:val="0"/>
          <w:lang w:eastAsia="pt-BR" w:bidi="ar-SA"/>
        </w:rPr>
        <w:t xml:space="preserve">mínio ou vidro temperado) e foram suprimidos os guarda-corpos em </w:t>
      </w:r>
      <w:proofErr w:type="spellStart"/>
      <w:r w:rsidRPr="002873C5">
        <w:rPr>
          <w:rFonts w:ascii="Garamond" w:eastAsia="Times New Roman" w:hAnsi="Garamond" w:cs="Times New Roman"/>
          <w:kern w:val="0"/>
          <w:lang w:eastAsia="pt-BR" w:bidi="ar-SA"/>
        </w:rPr>
        <w:t>c</w:t>
      </w:r>
      <w:r w:rsidRPr="002873C5">
        <w:rPr>
          <w:rFonts w:ascii="Garamond" w:eastAsia="Times New Roman" w:hAnsi="Garamond" w:cs="Times New Roman"/>
          <w:kern w:val="0"/>
          <w:lang w:eastAsia="pt-BR" w:bidi="ar-SA"/>
        </w:rPr>
        <w:t>o</w:t>
      </w:r>
      <w:r w:rsidRPr="002873C5">
        <w:rPr>
          <w:rFonts w:ascii="Garamond" w:eastAsia="Times New Roman" w:hAnsi="Garamond" w:cs="Times New Roman"/>
          <w:kern w:val="0"/>
          <w:lang w:eastAsia="pt-BR" w:bidi="ar-SA"/>
        </w:rPr>
        <w:t>bogós</w:t>
      </w:r>
      <w:proofErr w:type="spellEnd"/>
      <w:r w:rsidRPr="002873C5">
        <w:rPr>
          <w:rFonts w:ascii="Garamond" w:eastAsia="Times New Roman" w:hAnsi="Garamond" w:cs="Times New Roman"/>
          <w:kern w:val="0"/>
          <w:lang w:eastAsia="pt-BR" w:bidi="ar-SA"/>
        </w:rPr>
        <w:t xml:space="preserve"> cerâmicos</w:t>
      </w:r>
      <w:r w:rsidR="002873C5" w:rsidRPr="002873C5">
        <w:rPr>
          <w:rFonts w:ascii="Garamond" w:eastAsia="Times New Roman" w:hAnsi="Garamond" w:cs="Times New Roman"/>
          <w:kern w:val="0"/>
          <w:lang w:eastAsia="pt-BR" w:bidi="ar-SA"/>
        </w:rPr>
        <w:t xml:space="preserve"> e alguns pilares cilíndricos da composição da fachada.</w:t>
      </w:r>
    </w:p>
    <w:p w:rsidR="00B94877" w:rsidRDefault="00B94877"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2873C5" w:rsidRDefault="002873C5" w:rsidP="002873C5">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Ao que nos consta, estas alterações não foram objeto de projeto, sendo executadas conforme as necessidades funcionais do hospital</w:t>
      </w:r>
      <w:r w:rsidR="001E4BD0">
        <w:rPr>
          <w:rFonts w:ascii="Garamond" w:eastAsia="Times New Roman" w:hAnsi="Garamond" w:cs="Times New Roman"/>
          <w:kern w:val="0"/>
          <w:lang w:eastAsia="pt-BR" w:bidi="ar-SA"/>
        </w:rPr>
        <w:t xml:space="preserve"> e não foram aprovadas </w:t>
      </w:r>
      <w:r>
        <w:rPr>
          <w:rFonts w:ascii="Garamond" w:eastAsia="Times New Roman" w:hAnsi="Garamond" w:cs="Times New Roman"/>
          <w:kern w:val="0"/>
          <w:lang w:eastAsia="pt-BR" w:bidi="ar-SA"/>
        </w:rPr>
        <w:t xml:space="preserve">perante aos órgãos municipais competentes, entre eles o Conselho Municipal de Patrimônio Cultural. </w:t>
      </w:r>
    </w:p>
    <w:p w:rsidR="002873C5" w:rsidRDefault="002873C5"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tbl>
      <w:tblPr>
        <w:tblStyle w:val="Tabelacomgrade"/>
        <w:tblW w:w="9039" w:type="dxa"/>
        <w:tblLook w:val="04A0" w:firstRow="1" w:lastRow="0" w:firstColumn="1" w:lastColumn="0" w:noHBand="0" w:noVBand="1"/>
      </w:tblPr>
      <w:tblGrid>
        <w:gridCol w:w="4520"/>
        <w:gridCol w:w="4844"/>
      </w:tblGrid>
      <w:tr w:rsidR="00B94877" w:rsidTr="002873C5">
        <w:tc>
          <w:tcPr>
            <w:tcW w:w="4381" w:type="dxa"/>
          </w:tcPr>
          <w:p w:rsidR="00B94877" w:rsidRDefault="00B94877" w:rsidP="003D0263">
            <w:pPr>
              <w:widowControl/>
              <w:suppressAutoHyphens w:val="0"/>
              <w:autoSpaceDN/>
              <w:spacing w:line="276" w:lineRule="auto"/>
              <w:jc w:val="both"/>
              <w:textAlignment w:val="auto"/>
              <w:rPr>
                <w:rFonts w:ascii="Garamond" w:eastAsia="Times New Roman" w:hAnsi="Garamond" w:cs="Times New Roman"/>
                <w:kern w:val="0"/>
                <w:lang w:eastAsia="pt-BR" w:bidi="ar-SA"/>
              </w:rPr>
            </w:pPr>
            <w:r>
              <w:rPr>
                <w:noProof/>
                <w:lang w:eastAsia="pt-BR" w:bidi="ar-SA"/>
              </w:rPr>
              <w:drawing>
                <wp:inline distT="0" distB="0" distL="0" distR="0" wp14:anchorId="6E1DF2E2" wp14:editId="0DFBAAA3">
                  <wp:extent cx="2733267" cy="1590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155" t="39662" r="18518" b="13420"/>
                          <a:stretch/>
                        </pic:blipFill>
                        <pic:spPr bwMode="auto">
                          <a:xfrm>
                            <a:off x="0" y="0"/>
                            <a:ext cx="2735815" cy="1592158"/>
                          </a:xfrm>
                          <a:prstGeom prst="rect">
                            <a:avLst/>
                          </a:prstGeom>
                          <a:ln>
                            <a:noFill/>
                          </a:ln>
                          <a:extLst>
                            <a:ext uri="{53640926-AAD7-44D8-BBD7-CCE9431645EC}">
                              <a14:shadowObscured xmlns:a14="http://schemas.microsoft.com/office/drawing/2010/main"/>
                            </a:ext>
                          </a:extLst>
                        </pic:spPr>
                      </pic:pic>
                    </a:graphicData>
                  </a:graphic>
                </wp:inline>
              </w:drawing>
            </w:r>
          </w:p>
        </w:tc>
        <w:tc>
          <w:tcPr>
            <w:tcW w:w="4658" w:type="dxa"/>
          </w:tcPr>
          <w:p w:rsidR="00B94877" w:rsidRDefault="002873C5" w:rsidP="003D0263">
            <w:pPr>
              <w:widowControl/>
              <w:suppressAutoHyphens w:val="0"/>
              <w:autoSpaceDN/>
              <w:spacing w:line="276" w:lineRule="auto"/>
              <w:jc w:val="both"/>
              <w:textAlignment w:val="auto"/>
              <w:rPr>
                <w:rFonts w:ascii="Garamond" w:eastAsia="Times New Roman" w:hAnsi="Garamond" w:cs="Times New Roman"/>
                <w:kern w:val="0"/>
                <w:lang w:eastAsia="pt-BR" w:bidi="ar-SA"/>
              </w:rPr>
            </w:pPr>
            <w:r>
              <w:rPr>
                <w:noProof/>
                <w:lang w:eastAsia="pt-BR" w:bidi="ar-SA"/>
              </w:rPr>
              <w:drawing>
                <wp:inline distT="0" distB="0" distL="0" distR="0" wp14:anchorId="0ACDDD4D" wp14:editId="16AF7B49">
                  <wp:extent cx="2939190" cy="16002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284" t="17470" r="10053" b="12167"/>
                          <a:stretch/>
                        </pic:blipFill>
                        <pic:spPr bwMode="auto">
                          <a:xfrm>
                            <a:off x="0" y="0"/>
                            <a:ext cx="2944502" cy="1603092"/>
                          </a:xfrm>
                          <a:prstGeom prst="rect">
                            <a:avLst/>
                          </a:prstGeom>
                          <a:ln>
                            <a:noFill/>
                          </a:ln>
                          <a:extLst>
                            <a:ext uri="{53640926-AAD7-44D8-BBD7-CCE9431645EC}">
                              <a14:shadowObscured xmlns:a14="http://schemas.microsoft.com/office/drawing/2010/main"/>
                            </a:ext>
                          </a:extLst>
                        </pic:spPr>
                      </pic:pic>
                    </a:graphicData>
                  </a:graphic>
                </wp:inline>
              </w:drawing>
            </w:r>
          </w:p>
        </w:tc>
      </w:tr>
      <w:tr w:rsidR="00B94877" w:rsidRPr="002873C5" w:rsidTr="002873C5">
        <w:tc>
          <w:tcPr>
            <w:tcW w:w="4381" w:type="dxa"/>
          </w:tcPr>
          <w:p w:rsidR="00B94877" w:rsidRPr="002873C5" w:rsidRDefault="002873C5" w:rsidP="003D0263">
            <w:pPr>
              <w:widowControl/>
              <w:suppressAutoHyphens w:val="0"/>
              <w:autoSpaceDN/>
              <w:spacing w:line="276" w:lineRule="auto"/>
              <w:jc w:val="both"/>
              <w:textAlignment w:val="auto"/>
              <w:rPr>
                <w:rFonts w:ascii="Garamond" w:eastAsia="Times New Roman" w:hAnsi="Garamond" w:cs="Times New Roman"/>
                <w:kern w:val="0"/>
                <w:sz w:val="22"/>
                <w:szCs w:val="22"/>
                <w:lang w:eastAsia="pt-BR" w:bidi="ar-SA"/>
              </w:rPr>
            </w:pPr>
            <w:r w:rsidRPr="002873C5">
              <w:rPr>
                <w:rFonts w:ascii="Garamond" w:eastAsia="Times New Roman" w:hAnsi="Garamond" w:cs="Times New Roman"/>
                <w:kern w:val="0"/>
                <w:sz w:val="22"/>
                <w:szCs w:val="22"/>
                <w:lang w:eastAsia="pt-BR" w:bidi="ar-SA"/>
              </w:rPr>
              <w:t>Figura 07 – Imagem da edificação constante da ficha de inventário.</w:t>
            </w:r>
          </w:p>
        </w:tc>
        <w:tc>
          <w:tcPr>
            <w:tcW w:w="4658" w:type="dxa"/>
          </w:tcPr>
          <w:p w:rsidR="00B94877" w:rsidRPr="002873C5" w:rsidRDefault="002873C5" w:rsidP="003D0263">
            <w:pPr>
              <w:widowControl/>
              <w:suppressAutoHyphens w:val="0"/>
              <w:autoSpaceDN/>
              <w:spacing w:line="276" w:lineRule="auto"/>
              <w:jc w:val="both"/>
              <w:textAlignment w:val="auto"/>
              <w:rPr>
                <w:rFonts w:ascii="Garamond" w:eastAsia="Times New Roman" w:hAnsi="Garamond" w:cs="Times New Roman"/>
                <w:kern w:val="0"/>
                <w:sz w:val="22"/>
                <w:szCs w:val="22"/>
                <w:lang w:eastAsia="pt-BR" w:bidi="ar-SA"/>
              </w:rPr>
            </w:pPr>
            <w:r w:rsidRPr="002873C5">
              <w:rPr>
                <w:rFonts w:ascii="Garamond" w:eastAsia="Times New Roman" w:hAnsi="Garamond" w:cs="Times New Roman"/>
                <w:kern w:val="0"/>
                <w:sz w:val="22"/>
                <w:szCs w:val="22"/>
                <w:lang w:eastAsia="pt-BR" w:bidi="ar-SA"/>
              </w:rPr>
              <w:t xml:space="preserve">Figura 08 – Fachada da edificação em março de 2015. Fonte: Google Street </w:t>
            </w:r>
            <w:proofErr w:type="spellStart"/>
            <w:r w:rsidRPr="002873C5">
              <w:rPr>
                <w:rFonts w:ascii="Garamond" w:eastAsia="Times New Roman" w:hAnsi="Garamond" w:cs="Times New Roman"/>
                <w:kern w:val="0"/>
                <w:sz w:val="22"/>
                <w:szCs w:val="22"/>
                <w:lang w:eastAsia="pt-BR" w:bidi="ar-SA"/>
              </w:rPr>
              <w:t>View</w:t>
            </w:r>
            <w:proofErr w:type="spellEnd"/>
            <w:r w:rsidRPr="002873C5">
              <w:rPr>
                <w:rFonts w:ascii="Garamond" w:eastAsia="Times New Roman" w:hAnsi="Garamond" w:cs="Times New Roman"/>
                <w:kern w:val="0"/>
                <w:sz w:val="22"/>
                <w:szCs w:val="22"/>
                <w:lang w:eastAsia="pt-BR" w:bidi="ar-SA"/>
              </w:rPr>
              <w:t>.</w:t>
            </w:r>
          </w:p>
        </w:tc>
      </w:tr>
    </w:tbl>
    <w:p w:rsidR="003D0263" w:rsidRDefault="009B4DD5"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lastRenderedPageBreak/>
        <w:t xml:space="preserve"> </w:t>
      </w:r>
      <w:r w:rsidR="003D0263">
        <w:rPr>
          <w:rFonts w:ascii="Garamond" w:eastAsia="Times New Roman" w:hAnsi="Garamond" w:cs="Times New Roman"/>
          <w:kern w:val="0"/>
          <w:lang w:eastAsia="pt-BR" w:bidi="ar-SA"/>
        </w:rPr>
        <w:t>Em análise aos documentos integrantes dos autos, constatou-se que em fevereiro do corrente ano foram iniciadas obras no trecho frontal da edificação, sem aprovação dos órgãos municipais competentes. Alegou-se a necessidade da realização das intervenções, tendo em vista a infiltração de água no interior do edifício e o risco de deslizamento de terra, uma vez que parte do prédio implanta-se abaixo do nível da rua. Há fotografias e laudos técnicos atestando a necessidade e a urgência daquelas obras.</w:t>
      </w:r>
    </w:p>
    <w:p w:rsidR="003D0263" w:rsidRDefault="003D0263" w:rsidP="003D0263">
      <w:pPr>
        <w:widowControl/>
        <w:suppressAutoHyphens w:val="0"/>
        <w:autoSpaceDN/>
        <w:spacing w:line="276" w:lineRule="auto"/>
        <w:jc w:val="both"/>
        <w:textAlignment w:val="auto"/>
        <w:rPr>
          <w:rFonts w:ascii="Garamond" w:eastAsia="Times New Roman" w:hAnsi="Garamond" w:cs="Times New Roman"/>
          <w:kern w:val="0"/>
          <w:lang w:eastAsia="pt-BR" w:bidi="ar-SA"/>
        </w:rPr>
      </w:pPr>
    </w:p>
    <w:p w:rsidR="003D0263" w:rsidRDefault="003D0263"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Entretanto, em análise ao projeto de modificação juntado nos autos, também dat</w:t>
      </w:r>
      <w:r>
        <w:rPr>
          <w:rFonts w:ascii="Garamond" w:eastAsia="Times New Roman" w:hAnsi="Garamond" w:cs="Times New Roman"/>
          <w:kern w:val="0"/>
          <w:lang w:eastAsia="pt-BR" w:bidi="ar-SA"/>
        </w:rPr>
        <w:t>a</w:t>
      </w:r>
      <w:r>
        <w:rPr>
          <w:rFonts w:ascii="Garamond" w:eastAsia="Times New Roman" w:hAnsi="Garamond" w:cs="Times New Roman"/>
          <w:kern w:val="0"/>
          <w:lang w:eastAsia="pt-BR" w:bidi="ar-SA"/>
        </w:rPr>
        <w:t xml:space="preserve">do de fevereiro de 2017, constatou-se que </w:t>
      </w:r>
      <w:r w:rsidR="002873C5">
        <w:rPr>
          <w:rFonts w:ascii="Garamond" w:eastAsia="Times New Roman" w:hAnsi="Garamond" w:cs="Times New Roman"/>
          <w:kern w:val="0"/>
          <w:lang w:eastAsia="pt-BR" w:bidi="ar-SA"/>
        </w:rPr>
        <w:t xml:space="preserve">além das intervenções de contenção de umidade, </w:t>
      </w:r>
      <w:r>
        <w:rPr>
          <w:rFonts w:ascii="Garamond" w:eastAsia="Times New Roman" w:hAnsi="Garamond" w:cs="Times New Roman"/>
          <w:kern w:val="0"/>
          <w:lang w:eastAsia="pt-BR" w:bidi="ar-SA"/>
        </w:rPr>
        <w:t>tamb</w:t>
      </w:r>
      <w:r w:rsidR="002873C5">
        <w:rPr>
          <w:rFonts w:ascii="Garamond" w:eastAsia="Times New Roman" w:hAnsi="Garamond" w:cs="Times New Roman"/>
          <w:kern w:val="0"/>
          <w:lang w:eastAsia="pt-BR" w:bidi="ar-SA"/>
        </w:rPr>
        <w:t xml:space="preserve">ém se pretende regularizar acréscimos já </w:t>
      </w:r>
      <w:r w:rsidR="006813B1">
        <w:rPr>
          <w:rFonts w:ascii="Garamond" w:eastAsia="Times New Roman" w:hAnsi="Garamond" w:cs="Times New Roman"/>
          <w:kern w:val="0"/>
          <w:lang w:eastAsia="pt-BR" w:bidi="ar-SA"/>
        </w:rPr>
        <w:t xml:space="preserve">existentes </w:t>
      </w:r>
      <w:r w:rsidR="002873C5">
        <w:rPr>
          <w:rFonts w:ascii="Garamond" w:eastAsia="Times New Roman" w:hAnsi="Garamond" w:cs="Times New Roman"/>
          <w:kern w:val="0"/>
          <w:lang w:eastAsia="pt-BR" w:bidi="ar-SA"/>
        </w:rPr>
        <w:t xml:space="preserve">e </w:t>
      </w:r>
      <w:r w:rsidR="006813B1">
        <w:rPr>
          <w:rFonts w:ascii="Garamond" w:eastAsia="Times New Roman" w:hAnsi="Garamond" w:cs="Times New Roman"/>
          <w:kern w:val="0"/>
          <w:lang w:eastAsia="pt-BR" w:bidi="ar-SA"/>
        </w:rPr>
        <w:t>a</w:t>
      </w:r>
      <w:r w:rsidR="002979E3">
        <w:rPr>
          <w:rFonts w:ascii="Garamond" w:eastAsia="Times New Roman" w:hAnsi="Garamond" w:cs="Times New Roman"/>
          <w:kern w:val="0"/>
          <w:lang w:eastAsia="pt-BR" w:bidi="ar-SA"/>
        </w:rPr>
        <w:t xml:space="preserve">mpliar a </w:t>
      </w:r>
      <w:r w:rsidR="006813B1">
        <w:rPr>
          <w:rFonts w:ascii="Garamond" w:eastAsia="Times New Roman" w:hAnsi="Garamond" w:cs="Times New Roman"/>
          <w:kern w:val="0"/>
          <w:lang w:eastAsia="pt-BR" w:bidi="ar-SA"/>
        </w:rPr>
        <w:t>área construída</w:t>
      </w:r>
      <w:r w:rsidR="002873C5">
        <w:rPr>
          <w:rFonts w:ascii="Garamond" w:eastAsia="Times New Roman" w:hAnsi="Garamond" w:cs="Times New Roman"/>
          <w:kern w:val="0"/>
          <w:lang w:eastAsia="pt-BR" w:bidi="ar-SA"/>
        </w:rPr>
        <w:t xml:space="preserve">. </w:t>
      </w:r>
      <w:r w:rsidR="002979E3">
        <w:rPr>
          <w:rFonts w:ascii="Garamond" w:eastAsia="Times New Roman" w:hAnsi="Garamond" w:cs="Times New Roman"/>
          <w:kern w:val="0"/>
          <w:lang w:eastAsia="pt-BR" w:bidi="ar-SA"/>
        </w:rPr>
        <w:t>É cri</w:t>
      </w:r>
      <w:r w:rsidR="002979E3">
        <w:rPr>
          <w:rFonts w:ascii="Garamond" w:eastAsia="Times New Roman" w:hAnsi="Garamond" w:cs="Times New Roman"/>
          <w:kern w:val="0"/>
          <w:lang w:eastAsia="pt-BR" w:bidi="ar-SA"/>
        </w:rPr>
        <w:t>a</w:t>
      </w:r>
      <w:r w:rsidR="002979E3">
        <w:rPr>
          <w:rFonts w:ascii="Garamond" w:eastAsia="Times New Roman" w:hAnsi="Garamond" w:cs="Times New Roman"/>
          <w:kern w:val="0"/>
          <w:lang w:eastAsia="pt-BR" w:bidi="ar-SA"/>
        </w:rPr>
        <w:t xml:space="preserve">do um novo volume de construção em parte do afastamento frontal existente, defronte à antiga fachada, que foi totalmente desconsiderada no projeto. O resultado final é edifício contemporâneo, de linhas </w:t>
      </w:r>
      <w:r w:rsidR="00F707C8">
        <w:rPr>
          <w:rFonts w:ascii="Garamond" w:eastAsia="Times New Roman" w:hAnsi="Garamond" w:cs="Times New Roman"/>
          <w:kern w:val="0"/>
          <w:lang w:eastAsia="pt-BR" w:bidi="ar-SA"/>
        </w:rPr>
        <w:t xml:space="preserve">retas, </w:t>
      </w:r>
      <w:r w:rsidR="002979E3">
        <w:rPr>
          <w:rFonts w:ascii="Garamond" w:eastAsia="Times New Roman" w:hAnsi="Garamond" w:cs="Times New Roman"/>
          <w:kern w:val="0"/>
          <w:lang w:eastAsia="pt-BR" w:bidi="ar-SA"/>
        </w:rPr>
        <w:t>sem nenhuma referência</w:t>
      </w:r>
      <w:r w:rsidR="00F707C8">
        <w:rPr>
          <w:rFonts w:ascii="Garamond" w:eastAsia="Times New Roman" w:hAnsi="Garamond" w:cs="Times New Roman"/>
          <w:kern w:val="0"/>
          <w:lang w:eastAsia="pt-BR" w:bidi="ar-SA"/>
        </w:rPr>
        <w:t xml:space="preserve"> ao antigo prédio. O antigo recuo, cujas dimensões variavam entre 9 e 12 metros, que promovia um “respiro” na via estreita e destacava a antiga edificação, foi reduzido a 4 metros aproximadamente em toda a sua e</w:t>
      </w:r>
      <w:r w:rsidR="00F707C8">
        <w:rPr>
          <w:rFonts w:ascii="Garamond" w:eastAsia="Times New Roman" w:hAnsi="Garamond" w:cs="Times New Roman"/>
          <w:kern w:val="0"/>
          <w:lang w:eastAsia="pt-BR" w:bidi="ar-SA"/>
        </w:rPr>
        <w:t>x</w:t>
      </w:r>
      <w:r w:rsidR="00F707C8">
        <w:rPr>
          <w:rFonts w:ascii="Garamond" w:eastAsia="Times New Roman" w:hAnsi="Garamond" w:cs="Times New Roman"/>
          <w:kern w:val="0"/>
          <w:lang w:eastAsia="pt-BR" w:bidi="ar-SA"/>
        </w:rPr>
        <w:t>tensão. O acréscimo de área quase que dobra a área já edificada, acrescentando mais um pavimento no trecho frontal.</w:t>
      </w:r>
    </w:p>
    <w:p w:rsidR="00EB2337" w:rsidRDefault="00EB2337" w:rsidP="003D0263">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3D0263" w:rsidRPr="003D0263" w:rsidRDefault="00EB2337"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 xml:space="preserve">Como já citado neste documento, deu-se inicio às obras de intervenção, sem a anuência prévia dos órgãos de preservação competentes. Constatou-se que já foram </w:t>
      </w:r>
      <w:r w:rsidR="001E4BD0">
        <w:rPr>
          <w:rFonts w:ascii="Garamond" w:eastAsia="Times New Roman" w:hAnsi="Garamond" w:cs="Times New Roman"/>
          <w:kern w:val="0"/>
          <w:lang w:eastAsia="pt-BR" w:bidi="ar-SA"/>
        </w:rPr>
        <w:t>dem</w:t>
      </w:r>
      <w:r w:rsidR="001E4BD0">
        <w:rPr>
          <w:rFonts w:ascii="Garamond" w:eastAsia="Times New Roman" w:hAnsi="Garamond" w:cs="Times New Roman"/>
          <w:kern w:val="0"/>
          <w:lang w:eastAsia="pt-BR" w:bidi="ar-SA"/>
        </w:rPr>
        <w:t>o</w:t>
      </w:r>
      <w:r w:rsidR="001E4BD0">
        <w:rPr>
          <w:rFonts w:ascii="Garamond" w:eastAsia="Times New Roman" w:hAnsi="Garamond" w:cs="Times New Roman"/>
          <w:kern w:val="0"/>
          <w:lang w:eastAsia="pt-BR" w:bidi="ar-SA"/>
        </w:rPr>
        <w:t>lidas</w:t>
      </w:r>
      <w:r>
        <w:rPr>
          <w:rFonts w:ascii="Garamond" w:eastAsia="Times New Roman" w:hAnsi="Garamond" w:cs="Times New Roman"/>
          <w:kern w:val="0"/>
          <w:lang w:eastAsia="pt-BR" w:bidi="ar-SA"/>
        </w:rPr>
        <w:t xml:space="preserve"> as rampas de acesso, canteiros e jardins anteriormente existentes no afastamento fro</w:t>
      </w:r>
      <w:r>
        <w:rPr>
          <w:rFonts w:ascii="Garamond" w:eastAsia="Times New Roman" w:hAnsi="Garamond" w:cs="Times New Roman"/>
          <w:kern w:val="0"/>
          <w:lang w:eastAsia="pt-BR" w:bidi="ar-SA"/>
        </w:rPr>
        <w:t>n</w:t>
      </w:r>
      <w:r>
        <w:rPr>
          <w:rFonts w:ascii="Garamond" w:eastAsia="Times New Roman" w:hAnsi="Garamond" w:cs="Times New Roman"/>
          <w:kern w:val="0"/>
          <w:lang w:eastAsia="pt-BR" w:bidi="ar-SA"/>
        </w:rPr>
        <w:t xml:space="preserve">tal. O terreno encontra-se cercado por tapumes. </w:t>
      </w:r>
    </w:p>
    <w:p w:rsidR="003D0263" w:rsidRPr="008D67B6" w:rsidRDefault="003D0263"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tbl>
      <w:tblPr>
        <w:tblStyle w:val="Tabelacomgrade"/>
        <w:tblW w:w="0" w:type="auto"/>
        <w:tblLook w:val="04A0" w:firstRow="1" w:lastRow="0" w:firstColumn="1" w:lastColumn="0" w:noHBand="0" w:noVBand="1"/>
      </w:tblPr>
      <w:tblGrid>
        <w:gridCol w:w="4331"/>
        <w:gridCol w:w="4389"/>
      </w:tblGrid>
      <w:tr w:rsidR="00E9721E" w:rsidTr="00E9721E">
        <w:tc>
          <w:tcPr>
            <w:tcW w:w="4331" w:type="dxa"/>
          </w:tcPr>
          <w:p w:rsidR="00E9721E" w:rsidRDefault="00E9721E">
            <w:pPr>
              <w:pStyle w:val="Standard"/>
              <w:spacing w:line="276" w:lineRule="auto"/>
              <w:jc w:val="both"/>
              <w:rPr>
                <w:rFonts w:ascii="Garamond" w:hAnsi="Garamond" w:cs="Garamond"/>
                <w:b/>
                <w:bCs/>
              </w:rPr>
            </w:pPr>
            <w:r w:rsidRPr="00222120">
              <w:rPr>
                <w:rFonts w:ascii="Garamond" w:hAnsi="Garamond" w:cs="Garamond"/>
                <w:noProof/>
                <w:sz w:val="20"/>
                <w:szCs w:val="20"/>
                <w:lang w:eastAsia="pt-BR"/>
              </w:rPr>
              <w:drawing>
                <wp:anchor distT="0" distB="0" distL="114300" distR="114300" simplePos="0" relativeHeight="251663360" behindDoc="0" locked="0" layoutInCell="1" allowOverlap="1" wp14:anchorId="6628C93F" wp14:editId="45BD6C0C">
                  <wp:simplePos x="0" y="0"/>
                  <wp:positionH relativeFrom="column">
                    <wp:posOffset>-20320</wp:posOffset>
                  </wp:positionH>
                  <wp:positionV relativeFrom="paragraph">
                    <wp:posOffset>3175</wp:posOffset>
                  </wp:positionV>
                  <wp:extent cx="2663825" cy="2098675"/>
                  <wp:effectExtent l="0" t="0" r="3175" b="0"/>
                  <wp:wrapTopAndBottom/>
                  <wp:docPr id="14" name="figura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30045" t="19994" r="20034" b="9991"/>
                          <a:stretch>
                            <a:fillRect/>
                          </a:stretch>
                        </pic:blipFill>
                        <pic:spPr>
                          <a:xfrm>
                            <a:off x="0" y="0"/>
                            <a:ext cx="2663825" cy="2098675"/>
                          </a:xfrm>
                          <a:prstGeom prst="rect">
                            <a:avLst/>
                          </a:prstGeom>
                        </pic:spPr>
                      </pic:pic>
                    </a:graphicData>
                  </a:graphic>
                </wp:anchor>
              </w:drawing>
            </w:r>
          </w:p>
        </w:tc>
        <w:tc>
          <w:tcPr>
            <w:tcW w:w="4389" w:type="dxa"/>
          </w:tcPr>
          <w:p w:rsidR="00E9721E" w:rsidRDefault="00E9721E">
            <w:pPr>
              <w:pStyle w:val="Standard"/>
              <w:spacing w:line="276" w:lineRule="auto"/>
              <w:jc w:val="both"/>
              <w:rPr>
                <w:rFonts w:ascii="Garamond" w:hAnsi="Garamond" w:cs="Garamond"/>
                <w:b/>
                <w:bCs/>
              </w:rPr>
            </w:pPr>
            <w:r w:rsidRPr="00222120">
              <w:rPr>
                <w:rFonts w:ascii="Garamond" w:hAnsi="Garamond" w:cs="Garamond"/>
                <w:noProof/>
                <w:sz w:val="20"/>
                <w:szCs w:val="20"/>
                <w:lang w:eastAsia="pt-BR"/>
              </w:rPr>
              <w:drawing>
                <wp:anchor distT="0" distB="0" distL="114300" distR="114300" simplePos="0" relativeHeight="251665408" behindDoc="0" locked="0" layoutInCell="1" allowOverlap="1" wp14:anchorId="0EE6F35C" wp14:editId="4D12D295">
                  <wp:simplePos x="0" y="0"/>
                  <wp:positionH relativeFrom="column">
                    <wp:posOffset>-2605405</wp:posOffset>
                  </wp:positionH>
                  <wp:positionV relativeFrom="paragraph">
                    <wp:posOffset>139065</wp:posOffset>
                  </wp:positionV>
                  <wp:extent cx="2705100" cy="1968500"/>
                  <wp:effectExtent l="0" t="0" r="0" b="0"/>
                  <wp:wrapTopAndBottom/>
                  <wp:docPr id="16" name="figuras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lum/>
                            <a:alphaModFix/>
                          </a:blip>
                          <a:srcRect l="27700" t="12449" r="18262" b="14992"/>
                          <a:stretch/>
                        </pic:blipFill>
                        <pic:spPr bwMode="auto">
                          <a:xfrm>
                            <a:off x="0" y="0"/>
                            <a:ext cx="2705100" cy="196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3F80" w:rsidRPr="00193F80" w:rsidTr="00CE4B72">
        <w:tc>
          <w:tcPr>
            <w:tcW w:w="8720" w:type="dxa"/>
            <w:gridSpan w:val="2"/>
          </w:tcPr>
          <w:p w:rsidR="00193F80" w:rsidRPr="00193F80" w:rsidRDefault="00193F80">
            <w:pPr>
              <w:pStyle w:val="Standard"/>
              <w:spacing w:line="276" w:lineRule="auto"/>
              <w:jc w:val="both"/>
              <w:rPr>
                <w:rFonts w:ascii="Garamond" w:hAnsi="Garamond" w:cs="Garamond"/>
                <w:bCs/>
                <w:sz w:val="22"/>
                <w:szCs w:val="22"/>
              </w:rPr>
            </w:pPr>
            <w:r w:rsidRPr="00193F80">
              <w:rPr>
                <w:rFonts w:ascii="Garamond" w:hAnsi="Garamond" w:cs="Garamond"/>
                <w:bCs/>
                <w:sz w:val="22"/>
                <w:szCs w:val="22"/>
              </w:rPr>
              <w:t>Figuras 09 e 10 – Imagens atuais da edificação, ap</w:t>
            </w:r>
            <w:r>
              <w:rPr>
                <w:rFonts w:ascii="Garamond" w:hAnsi="Garamond" w:cs="Garamond"/>
                <w:bCs/>
                <w:sz w:val="22"/>
                <w:szCs w:val="22"/>
              </w:rPr>
              <w:t>ós o iní</w:t>
            </w:r>
            <w:r w:rsidRPr="00193F80">
              <w:rPr>
                <w:rFonts w:ascii="Garamond" w:hAnsi="Garamond" w:cs="Garamond"/>
                <w:bCs/>
                <w:sz w:val="22"/>
                <w:szCs w:val="22"/>
              </w:rPr>
              <w:t>cio das obras.</w:t>
            </w:r>
          </w:p>
        </w:tc>
      </w:tr>
    </w:tbl>
    <w:p w:rsidR="002B14BD" w:rsidRPr="008D67B6" w:rsidRDefault="002B14BD"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A3466F" w:rsidRDefault="008D67B6"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8D67B6">
        <w:rPr>
          <w:rFonts w:ascii="Garamond" w:eastAsia="Times New Roman" w:hAnsi="Garamond" w:cs="Times New Roman"/>
          <w:kern w:val="0"/>
          <w:lang w:eastAsia="pt-BR" w:bidi="ar-SA"/>
        </w:rPr>
        <w:t>O projeto de modificaç</w:t>
      </w:r>
      <w:r>
        <w:rPr>
          <w:rFonts w:ascii="Garamond" w:eastAsia="Times New Roman" w:hAnsi="Garamond" w:cs="Times New Roman"/>
          <w:kern w:val="0"/>
          <w:lang w:eastAsia="pt-BR" w:bidi="ar-SA"/>
        </w:rPr>
        <w:t>ão com acrés</w:t>
      </w:r>
      <w:r w:rsidRPr="008D67B6">
        <w:rPr>
          <w:rFonts w:ascii="Garamond" w:eastAsia="Times New Roman" w:hAnsi="Garamond" w:cs="Times New Roman"/>
          <w:kern w:val="0"/>
          <w:lang w:eastAsia="pt-BR" w:bidi="ar-SA"/>
        </w:rPr>
        <w:t xml:space="preserve">cimo </w:t>
      </w:r>
      <w:r>
        <w:rPr>
          <w:rFonts w:ascii="Garamond" w:eastAsia="Times New Roman" w:hAnsi="Garamond" w:cs="Times New Roman"/>
          <w:kern w:val="0"/>
          <w:lang w:eastAsia="pt-BR" w:bidi="ar-SA"/>
        </w:rPr>
        <w:t xml:space="preserve">de área foi protocolado na Prefeitura Municipal de Patos de Minas em 07/03/2017. Em 25/04/2017 foi elaborado o Parecer Técnico Preliminar pelo arquiteto Alex </w:t>
      </w:r>
      <w:r w:rsidR="00A3466F">
        <w:rPr>
          <w:rFonts w:ascii="Garamond" w:eastAsia="Times New Roman" w:hAnsi="Garamond" w:cs="Times New Roman"/>
          <w:kern w:val="0"/>
          <w:lang w:eastAsia="pt-BR" w:bidi="ar-SA"/>
        </w:rPr>
        <w:t>de Castro Borges, servidor público municipal, CAU A 25375-8, que descreveu o imóvel, caracterizou a situação existente e teceu considerações a respeito da intervenção proposta, fazendo algumas recomendações para adequação da proposta de projeto apresentada. O referido Parecer foi aprovado pelo Conselho Deliber</w:t>
      </w:r>
      <w:r w:rsidR="00A3466F">
        <w:rPr>
          <w:rFonts w:ascii="Garamond" w:eastAsia="Times New Roman" w:hAnsi="Garamond" w:cs="Times New Roman"/>
          <w:kern w:val="0"/>
          <w:lang w:eastAsia="pt-BR" w:bidi="ar-SA"/>
        </w:rPr>
        <w:t>a</w:t>
      </w:r>
      <w:r w:rsidR="00A3466F">
        <w:rPr>
          <w:rFonts w:ascii="Garamond" w:eastAsia="Times New Roman" w:hAnsi="Garamond" w:cs="Times New Roman"/>
          <w:kern w:val="0"/>
          <w:lang w:eastAsia="pt-BR" w:bidi="ar-SA"/>
        </w:rPr>
        <w:lastRenderedPageBreak/>
        <w:t>tivo Municipal do Patrimônio Artístico Histórico e Cultural de Patos de Minas - COND</w:t>
      </w:r>
      <w:r w:rsidR="00A3466F">
        <w:rPr>
          <w:rFonts w:ascii="Garamond" w:eastAsia="Times New Roman" w:hAnsi="Garamond" w:cs="Times New Roman"/>
          <w:kern w:val="0"/>
          <w:lang w:eastAsia="pt-BR" w:bidi="ar-SA"/>
        </w:rPr>
        <w:t>E</w:t>
      </w:r>
      <w:r w:rsidR="00A3466F">
        <w:rPr>
          <w:rFonts w:ascii="Garamond" w:eastAsia="Times New Roman" w:hAnsi="Garamond" w:cs="Times New Roman"/>
          <w:kern w:val="0"/>
          <w:lang w:eastAsia="pt-BR" w:bidi="ar-SA"/>
        </w:rPr>
        <w:t>PAHC elaborou o Parecer nº 10, datado de 26/04/2017, solicitando:</w:t>
      </w:r>
    </w:p>
    <w:p w:rsidR="002356EA" w:rsidRDefault="002356EA"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2B14BD" w:rsidRPr="00193F80" w:rsidRDefault="00A3466F"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Reestruturação do projeto conforme sugere o Parecer Técnico Preliminar do arqu</w:t>
      </w:r>
      <w:r w:rsidRPr="00193F80">
        <w:rPr>
          <w:rFonts w:ascii="Garamond" w:eastAsia="Times New Roman" w:hAnsi="Garamond" w:cs="Times New Roman"/>
          <w:kern w:val="0"/>
          <w:lang w:eastAsia="pt-BR" w:bidi="ar-SA"/>
        </w:rPr>
        <w:t>i</w:t>
      </w:r>
      <w:r w:rsidRPr="00193F80">
        <w:rPr>
          <w:rFonts w:ascii="Garamond" w:eastAsia="Times New Roman" w:hAnsi="Garamond" w:cs="Times New Roman"/>
          <w:kern w:val="0"/>
          <w:lang w:eastAsia="pt-BR" w:bidi="ar-SA"/>
        </w:rPr>
        <w:t xml:space="preserve">teto Alex, </w:t>
      </w:r>
    </w:p>
    <w:p w:rsidR="00A3466F" w:rsidRPr="00193F80" w:rsidRDefault="00A3466F"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Compensação financeira a ser elaborada pelo Ministério Público de Minas Gerais considerando os danos causados ao Patrimônio Cultural,</w:t>
      </w:r>
    </w:p>
    <w:p w:rsidR="00A3466F" w:rsidRPr="00193F80" w:rsidRDefault="00A3466F"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Desenvolvimento do projeto arquitetônico,</w:t>
      </w:r>
    </w:p>
    <w:p w:rsidR="00A3466F" w:rsidRPr="00193F80" w:rsidRDefault="00A3466F"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Produção de relatório fotográfico do imóvel,</w:t>
      </w:r>
    </w:p>
    <w:p w:rsidR="00A3466F" w:rsidRPr="00193F80" w:rsidRDefault="00193F80"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Preservação, reutilização ou doação dos elementos característicos do imóvel (azul</w:t>
      </w:r>
      <w:r w:rsidRPr="00193F80">
        <w:rPr>
          <w:rFonts w:ascii="Garamond" w:eastAsia="Times New Roman" w:hAnsi="Garamond" w:cs="Times New Roman"/>
          <w:kern w:val="0"/>
          <w:lang w:eastAsia="pt-BR" w:bidi="ar-SA"/>
        </w:rPr>
        <w:t>e</w:t>
      </w:r>
      <w:r w:rsidRPr="00193F80">
        <w:rPr>
          <w:rFonts w:ascii="Garamond" w:eastAsia="Times New Roman" w:hAnsi="Garamond" w:cs="Times New Roman"/>
          <w:kern w:val="0"/>
          <w:lang w:eastAsia="pt-BR" w:bidi="ar-SA"/>
        </w:rPr>
        <w:t>jos, portais, janelas, grades, luminárias, etc.</w:t>
      </w:r>
    </w:p>
    <w:p w:rsidR="00193F80" w:rsidRDefault="00193F80"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Criação de placa com informe histórico e imagens do imóvel para afixação em local visível.</w:t>
      </w:r>
    </w:p>
    <w:p w:rsidR="00193F80" w:rsidRPr="00193F80" w:rsidRDefault="00193F80" w:rsidP="00193F80">
      <w:pPr>
        <w:pStyle w:val="PargrafodaLista"/>
        <w:widowControl/>
        <w:numPr>
          <w:ilvl w:val="0"/>
          <w:numId w:val="15"/>
        </w:numPr>
        <w:suppressAutoHyphens w:val="0"/>
        <w:autoSpaceDN/>
        <w:spacing w:line="276" w:lineRule="auto"/>
        <w:jc w:val="both"/>
        <w:textAlignment w:val="auto"/>
        <w:rPr>
          <w:rFonts w:ascii="Garamond" w:eastAsia="Times New Roman" w:hAnsi="Garamond" w:cs="Times New Roman"/>
          <w:kern w:val="0"/>
          <w:lang w:eastAsia="pt-BR" w:bidi="ar-SA"/>
        </w:rPr>
      </w:pPr>
      <w:r w:rsidRPr="00193F80">
        <w:rPr>
          <w:rFonts w:ascii="Garamond" w:eastAsia="Times New Roman" w:hAnsi="Garamond" w:cs="Times New Roman"/>
          <w:kern w:val="0"/>
          <w:lang w:eastAsia="pt-BR" w:bidi="ar-SA"/>
        </w:rPr>
        <w:t>Elaboração de maquete eletrônica ou física do imóvel original.</w:t>
      </w:r>
    </w:p>
    <w:p w:rsidR="002B14BD" w:rsidRPr="008D67B6" w:rsidRDefault="002B14BD"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2B14BD" w:rsidRPr="008D67B6" w:rsidRDefault="00193F80" w:rsidP="008D67B6">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Em contato na Prefeitura Municipal fomos informados que o projeto ainda não foi aprovado pelos demais órgãos e ainda não foi emitido o alvará de construção.</w:t>
      </w:r>
    </w:p>
    <w:p w:rsidR="002B14BD" w:rsidRPr="00222120" w:rsidRDefault="002B14BD">
      <w:pPr>
        <w:pStyle w:val="Standard"/>
        <w:spacing w:line="276" w:lineRule="auto"/>
        <w:ind w:firstLine="720"/>
        <w:jc w:val="both"/>
        <w:rPr>
          <w:rFonts w:ascii="Garamond" w:hAnsi="Garamond" w:cs="Garamond"/>
          <w:lang w:val="pt-PT"/>
        </w:rPr>
      </w:pPr>
    </w:p>
    <w:p w:rsidR="002B14BD" w:rsidRPr="00193F80" w:rsidRDefault="00193F80" w:rsidP="00193F80">
      <w:pPr>
        <w:pStyle w:val="Standard"/>
        <w:spacing w:line="276" w:lineRule="auto"/>
        <w:jc w:val="both"/>
        <w:rPr>
          <w:rFonts w:ascii="Garamond" w:hAnsi="Garamond"/>
          <w:b/>
        </w:rPr>
      </w:pPr>
      <w:r w:rsidRPr="00193F80">
        <w:rPr>
          <w:rFonts w:ascii="Garamond" w:hAnsi="Garamond"/>
          <w:b/>
        </w:rPr>
        <w:t>9.1 -    Resposta aos quesitos formulados pela Promotoria</w:t>
      </w:r>
    </w:p>
    <w:p w:rsidR="00193F80" w:rsidRDefault="00193F80" w:rsidP="00193F80">
      <w:pPr>
        <w:pStyle w:val="Standard"/>
        <w:spacing w:line="276" w:lineRule="auto"/>
        <w:jc w:val="both"/>
        <w:rPr>
          <w:rFonts w:ascii="Garamond" w:hAnsi="Garamond"/>
        </w:rPr>
      </w:pPr>
    </w:p>
    <w:p w:rsidR="00193F80" w:rsidRPr="00B771C4" w:rsidRDefault="00193F80" w:rsidP="00193F80">
      <w:pPr>
        <w:pStyle w:val="Standard"/>
        <w:numPr>
          <w:ilvl w:val="0"/>
          <w:numId w:val="14"/>
        </w:numPr>
        <w:spacing w:line="276" w:lineRule="auto"/>
        <w:jc w:val="both"/>
        <w:rPr>
          <w:rFonts w:ascii="Garamond" w:hAnsi="Garamond"/>
          <w:b/>
        </w:rPr>
      </w:pPr>
      <w:r w:rsidRPr="00B771C4">
        <w:rPr>
          <w:rFonts w:ascii="Garamond" w:hAnsi="Garamond"/>
          <w:b/>
        </w:rPr>
        <w:t xml:space="preserve">O parecer 10 subscrito pelo </w:t>
      </w:r>
      <w:r w:rsidRPr="00B771C4">
        <w:rPr>
          <w:rFonts w:ascii="Garamond" w:hAnsi="Garamond"/>
          <w:b/>
          <w:kern w:val="0"/>
          <w:lang w:eastAsia="pt-BR"/>
        </w:rPr>
        <w:t>CONDEPAHC que autoriza a retirada do imóvel Hospital Nossa Senhora de Fátima – HNSF do rol de bens</w:t>
      </w:r>
      <w:r w:rsidR="001E4BD0" w:rsidRPr="00B771C4">
        <w:rPr>
          <w:rFonts w:ascii="Garamond" w:hAnsi="Garamond"/>
          <w:b/>
          <w:kern w:val="0"/>
          <w:lang w:eastAsia="pt-BR"/>
        </w:rPr>
        <w:t xml:space="preserve"> inventariados do município está</w:t>
      </w:r>
      <w:r w:rsidRPr="00B771C4">
        <w:rPr>
          <w:rFonts w:ascii="Garamond" w:hAnsi="Garamond"/>
          <w:b/>
          <w:kern w:val="0"/>
          <w:lang w:eastAsia="pt-BR"/>
        </w:rPr>
        <w:t xml:space="preserve"> devidamente justificado e em conformidade com as normas que regem à espécie? Justificar.</w:t>
      </w:r>
    </w:p>
    <w:p w:rsidR="001E4BD0" w:rsidRDefault="001E4BD0" w:rsidP="001E4BD0">
      <w:pPr>
        <w:pStyle w:val="Standard"/>
        <w:spacing w:line="276" w:lineRule="auto"/>
        <w:jc w:val="both"/>
        <w:rPr>
          <w:rFonts w:ascii="Garamond" w:hAnsi="Garamond"/>
          <w:kern w:val="0"/>
          <w:lang w:eastAsia="pt-BR"/>
        </w:rPr>
      </w:pPr>
    </w:p>
    <w:p w:rsidR="001E4BD0" w:rsidRDefault="001E4BD0" w:rsidP="002F795F">
      <w:pPr>
        <w:pStyle w:val="Standard"/>
        <w:spacing w:line="276" w:lineRule="auto"/>
        <w:ind w:firstLine="708"/>
        <w:jc w:val="both"/>
        <w:rPr>
          <w:rFonts w:ascii="Garamond" w:hAnsi="Garamond"/>
          <w:kern w:val="0"/>
          <w:lang w:eastAsia="pt-BR"/>
        </w:rPr>
      </w:pPr>
      <w:r>
        <w:rPr>
          <w:rFonts w:ascii="Garamond" w:hAnsi="Garamond"/>
          <w:kern w:val="0"/>
          <w:lang w:eastAsia="pt-BR"/>
        </w:rPr>
        <w:t xml:space="preserve">O Parecer 10 do CONDEPAHC acompanha as recomendações contidas no Parecer Técnico Preliminar elaborado pelo arquiteto </w:t>
      </w:r>
      <w:r w:rsidR="002F795F">
        <w:rPr>
          <w:rFonts w:ascii="Garamond" w:hAnsi="Garamond"/>
          <w:kern w:val="0"/>
          <w:lang w:eastAsia="pt-BR"/>
        </w:rPr>
        <w:t xml:space="preserve">Alex de Castro Borges e acrescenta algumas medidas compensatórias. </w:t>
      </w:r>
    </w:p>
    <w:p w:rsidR="002F795F" w:rsidRDefault="002F795F" w:rsidP="002F795F">
      <w:pPr>
        <w:pStyle w:val="Standard"/>
        <w:spacing w:line="276" w:lineRule="auto"/>
        <w:ind w:firstLine="708"/>
        <w:jc w:val="both"/>
        <w:rPr>
          <w:rFonts w:ascii="Garamond" w:hAnsi="Garamond"/>
          <w:kern w:val="0"/>
          <w:lang w:eastAsia="pt-BR"/>
        </w:rPr>
      </w:pPr>
    </w:p>
    <w:p w:rsidR="002F795F" w:rsidRDefault="002F795F" w:rsidP="002F795F">
      <w:pPr>
        <w:pStyle w:val="Standard"/>
        <w:spacing w:line="276" w:lineRule="auto"/>
        <w:ind w:firstLine="708"/>
        <w:jc w:val="both"/>
        <w:rPr>
          <w:rFonts w:ascii="Garamond" w:hAnsi="Garamond"/>
          <w:kern w:val="0"/>
          <w:lang w:eastAsia="pt-BR"/>
        </w:rPr>
      </w:pPr>
      <w:r>
        <w:rPr>
          <w:rFonts w:ascii="Garamond" w:hAnsi="Garamond"/>
          <w:kern w:val="0"/>
          <w:lang w:eastAsia="pt-BR"/>
        </w:rPr>
        <w:t>Entretanto, o Parecer é contraditório. Inicia destacando que o imóvel consta do rol de inventários do município de Patos de Minas desde 1999; que o prédio do HNSF é uma referência significativa do modernismo em Patos de Minas e informa em reunião extraordinária do CONDEPAHC</w:t>
      </w:r>
      <w:r>
        <w:rPr>
          <w:rStyle w:val="Refdenotaderodap"/>
          <w:rFonts w:ascii="Garamond" w:hAnsi="Garamond"/>
          <w:kern w:val="0"/>
          <w:lang w:eastAsia="pt-BR"/>
        </w:rPr>
        <w:footnoteReference w:id="10"/>
      </w:r>
      <w:r>
        <w:rPr>
          <w:rFonts w:ascii="Garamond" w:hAnsi="Garamond"/>
          <w:kern w:val="0"/>
          <w:lang w:eastAsia="pt-BR"/>
        </w:rPr>
        <w:t xml:space="preserve"> que o imóvel recebeu a nota 6,78, muito próxima da nota 7 que culminaria no tombamento, após a análise dos critérios histórico, arquitetônico e urbanístico, mesmo com as diversas descaracterizações já realizadas. Entretanto, após elencar os valores do bem cultural, libera o imóvel do Plano de Inventário do município e autoriza a intervenção pretendida. </w:t>
      </w:r>
    </w:p>
    <w:p w:rsidR="002F795F" w:rsidRDefault="002F795F" w:rsidP="002F795F">
      <w:pPr>
        <w:pStyle w:val="Standard"/>
        <w:spacing w:line="276" w:lineRule="auto"/>
        <w:ind w:firstLine="708"/>
        <w:jc w:val="both"/>
        <w:rPr>
          <w:rFonts w:ascii="Garamond" w:hAnsi="Garamond"/>
          <w:kern w:val="0"/>
          <w:lang w:eastAsia="pt-BR"/>
        </w:rPr>
      </w:pPr>
    </w:p>
    <w:p w:rsidR="002F795F" w:rsidRPr="00B077D5" w:rsidRDefault="002F795F" w:rsidP="002F795F">
      <w:pPr>
        <w:pStyle w:val="Standard"/>
        <w:spacing w:line="276" w:lineRule="auto"/>
        <w:ind w:firstLine="708"/>
        <w:jc w:val="both"/>
        <w:rPr>
          <w:rFonts w:ascii="Garamond" w:hAnsi="Garamond"/>
        </w:rPr>
      </w:pPr>
      <w:r>
        <w:rPr>
          <w:rFonts w:ascii="Garamond" w:hAnsi="Garamond"/>
          <w:kern w:val="0"/>
          <w:lang w:eastAsia="pt-BR"/>
        </w:rPr>
        <w:t>Neste sentido, julgamos ser importante contextualizar o instrumento do inventário para fundamentar a nossa conclusão.</w:t>
      </w:r>
    </w:p>
    <w:p w:rsidR="00B077D5" w:rsidRDefault="00B077D5" w:rsidP="00B077D5">
      <w:pPr>
        <w:pStyle w:val="Standard"/>
        <w:spacing w:line="276" w:lineRule="auto"/>
        <w:jc w:val="both"/>
        <w:rPr>
          <w:rFonts w:ascii="Garamond" w:hAnsi="Garamond"/>
          <w:kern w:val="0"/>
          <w:lang w:eastAsia="pt-BR"/>
        </w:rPr>
      </w:pP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r w:rsidRPr="00B077D5">
        <w:rPr>
          <w:rFonts w:ascii="Garamond" w:eastAsia="Times New Roman" w:hAnsi="Garamond" w:cs="Times New Roman"/>
          <w:kern w:val="0"/>
          <w:lang w:eastAsia="pt-BR" w:bidi="ar-SA"/>
        </w:rPr>
        <w:lastRenderedPageBreak/>
        <w:t>Nos últimos anos, as políticas e práticas desenvolvidas na área de preservação vêm adquirindo nova abrangência. O enfoque dado anteriormente apenas aos monumentos considerados de excepcional valor histórico, arquitetônico ou artístico, amplia-se ao adotar o conceito de “patrimônio cultural” estendendo-se à memória social da coletividade.</w:t>
      </w: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r w:rsidRPr="00B077D5">
        <w:rPr>
          <w:rFonts w:ascii="Garamond" w:eastAsia="Times New Roman" w:hAnsi="Garamond" w:cs="Times New Roman"/>
          <w:kern w:val="0"/>
          <w:lang w:eastAsia="pt-BR" w:bidi="ar-SA"/>
        </w:rPr>
        <w:t xml:space="preserve">Conforme descrevem os artigos 30, IX e 216, caput da Constituição Federal: </w:t>
      </w:r>
    </w:p>
    <w:p w:rsidR="00460092" w:rsidRDefault="00460092" w:rsidP="00B077D5">
      <w:pPr>
        <w:widowControl/>
        <w:suppressAutoHyphens w:val="0"/>
        <w:autoSpaceDN/>
        <w:spacing w:line="276" w:lineRule="auto"/>
        <w:ind w:left="2160" w:firstLine="672"/>
        <w:jc w:val="both"/>
        <w:textAlignment w:val="auto"/>
        <w:rPr>
          <w:rFonts w:ascii="Garamond" w:eastAsia="Arial Unicode MS" w:hAnsi="Garamond" w:cs="Times New Roman"/>
          <w:bCs/>
          <w:kern w:val="0"/>
          <w:sz w:val="22"/>
          <w:szCs w:val="20"/>
          <w:lang w:eastAsia="pt-BR" w:bidi="ar-SA"/>
        </w:rPr>
      </w:pPr>
    </w:p>
    <w:p w:rsidR="00B077D5" w:rsidRPr="00B077D5" w:rsidRDefault="00B077D5" w:rsidP="00B077D5">
      <w:pPr>
        <w:widowControl/>
        <w:suppressAutoHyphens w:val="0"/>
        <w:autoSpaceDN/>
        <w:spacing w:line="276" w:lineRule="auto"/>
        <w:ind w:left="2160" w:firstLine="672"/>
        <w:jc w:val="both"/>
        <w:textAlignment w:val="auto"/>
        <w:rPr>
          <w:rFonts w:ascii="Garamond" w:eastAsia="Arial Unicode MS" w:hAnsi="Garamond" w:cs="Times New Roman"/>
          <w:bCs/>
          <w:kern w:val="0"/>
          <w:sz w:val="22"/>
          <w:szCs w:val="20"/>
          <w:lang w:eastAsia="pt-BR" w:bidi="ar-SA"/>
        </w:rPr>
      </w:pPr>
      <w:r w:rsidRPr="00B077D5">
        <w:rPr>
          <w:rFonts w:ascii="Garamond" w:eastAsia="Arial Unicode MS" w:hAnsi="Garamond" w:cs="Times New Roman"/>
          <w:bCs/>
          <w:kern w:val="0"/>
          <w:sz w:val="22"/>
          <w:szCs w:val="20"/>
          <w:lang w:eastAsia="pt-BR" w:bidi="ar-SA"/>
        </w:rPr>
        <w:t>Art. 30 - Compete aos Municípios:</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bCs/>
          <w:kern w:val="0"/>
          <w:sz w:val="22"/>
          <w:szCs w:val="20"/>
          <w:lang w:eastAsia="pt-BR" w:bidi="ar-SA"/>
        </w:rPr>
      </w:pPr>
      <w:r w:rsidRPr="00B077D5">
        <w:rPr>
          <w:rFonts w:ascii="Garamond" w:eastAsia="Arial Unicode MS" w:hAnsi="Garamond" w:cs="Times New Roman"/>
          <w:bCs/>
          <w:kern w:val="0"/>
          <w:sz w:val="22"/>
          <w:szCs w:val="20"/>
          <w:lang w:eastAsia="pt-BR" w:bidi="ar-SA"/>
        </w:rPr>
        <w:t>IX – promover a proteção do patrimônio histórico-cultural local, observada a legislação e a ação fiscalizadora federal e estadual.</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Art. 216 - Constituem patrimônio cultural brasileiro os bens de natureza material e imaterial, tomados individualmente ou em conjunto, portadores de referência à identidade, à ação, à memória dos diferentes grupos formadores da sociedade brasileira, nos quais se incluem:</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IV - as obras, objetos, documentos, edificações e demais esp</w:t>
      </w:r>
      <w:r w:rsidRPr="00B077D5">
        <w:rPr>
          <w:rFonts w:ascii="Garamond" w:eastAsia="Arial Unicode MS" w:hAnsi="Garamond" w:cs="Times New Roman"/>
          <w:kern w:val="0"/>
          <w:sz w:val="22"/>
          <w:lang w:eastAsia="pt-BR" w:bidi="ar-SA"/>
        </w:rPr>
        <w:t>a</w:t>
      </w:r>
      <w:r w:rsidRPr="00B077D5">
        <w:rPr>
          <w:rFonts w:ascii="Garamond" w:eastAsia="Arial Unicode MS" w:hAnsi="Garamond" w:cs="Times New Roman"/>
          <w:kern w:val="0"/>
          <w:sz w:val="22"/>
          <w:lang w:eastAsia="pt-BR" w:bidi="ar-SA"/>
        </w:rPr>
        <w:t>ços destinados a manifestações artístico-culturais;</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V - os conjuntos urbanos e sítios de valor histórico, paisagístico, artístico, arqueológico, paleontólogo, ecológico e científico. </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1º - O Poder Público, com a colaboração da comunidade, pr</w:t>
      </w:r>
      <w:r w:rsidRPr="00B077D5">
        <w:rPr>
          <w:rFonts w:ascii="Garamond" w:eastAsia="Arial Unicode MS" w:hAnsi="Garamond" w:cs="Times New Roman"/>
          <w:kern w:val="0"/>
          <w:sz w:val="22"/>
          <w:lang w:eastAsia="pt-BR" w:bidi="ar-SA"/>
        </w:rPr>
        <w:t>o</w:t>
      </w:r>
      <w:r w:rsidRPr="00B077D5">
        <w:rPr>
          <w:rFonts w:ascii="Garamond" w:eastAsia="Arial Unicode MS" w:hAnsi="Garamond" w:cs="Times New Roman"/>
          <w:kern w:val="0"/>
          <w:sz w:val="22"/>
          <w:lang w:eastAsia="pt-BR" w:bidi="ar-SA"/>
        </w:rPr>
        <w:t xml:space="preserve">moverá e protegerá o patrimônio cultural brasileiro, por meio de </w:t>
      </w:r>
      <w:r w:rsidRPr="00B077D5">
        <w:rPr>
          <w:rFonts w:ascii="Garamond" w:eastAsia="Arial Unicode MS" w:hAnsi="Garamond" w:cs="Times New Roman"/>
          <w:kern w:val="0"/>
          <w:sz w:val="22"/>
          <w:u w:val="single"/>
          <w:lang w:eastAsia="pt-BR" w:bidi="ar-SA"/>
        </w:rPr>
        <w:t>inventários</w:t>
      </w:r>
      <w:r w:rsidRPr="00B077D5">
        <w:rPr>
          <w:rFonts w:ascii="Garamond" w:eastAsia="Arial Unicode MS" w:hAnsi="Garamond" w:cs="Times New Roman"/>
          <w:kern w:val="0"/>
          <w:sz w:val="22"/>
          <w:lang w:eastAsia="pt-BR" w:bidi="ar-SA"/>
        </w:rPr>
        <w:t xml:space="preserve">, registros, vigilância, tombamento e desapropriação e de outras formas de acautelamento e preservação. </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 2º - Cabem à administração pública, na forma da lei, a gestão da documentação governamental e as providências para franquear sua consulta a quantos dela necessitem. </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3º - A lei estabelecerá incentivos para a produção e o conhec</w:t>
      </w:r>
      <w:r w:rsidRPr="00B077D5">
        <w:rPr>
          <w:rFonts w:ascii="Garamond" w:eastAsia="Arial Unicode MS" w:hAnsi="Garamond" w:cs="Times New Roman"/>
          <w:kern w:val="0"/>
          <w:sz w:val="22"/>
          <w:lang w:eastAsia="pt-BR" w:bidi="ar-SA"/>
        </w:rPr>
        <w:t>i</w:t>
      </w:r>
      <w:r w:rsidRPr="00B077D5">
        <w:rPr>
          <w:rFonts w:ascii="Garamond" w:eastAsia="Arial Unicode MS" w:hAnsi="Garamond" w:cs="Times New Roman"/>
          <w:kern w:val="0"/>
          <w:sz w:val="22"/>
          <w:lang w:eastAsia="pt-BR" w:bidi="ar-SA"/>
        </w:rPr>
        <w:t xml:space="preserve">mento de bens e valores culturais. </w:t>
      </w:r>
    </w:p>
    <w:p w:rsidR="00B077D5" w:rsidRPr="00B077D5" w:rsidRDefault="00B077D5" w:rsidP="00B077D5">
      <w:pPr>
        <w:widowControl/>
        <w:suppressAutoHyphens w:val="0"/>
        <w:autoSpaceDN/>
        <w:spacing w:line="276" w:lineRule="auto"/>
        <w:ind w:left="2832"/>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4º - Os danos e ameaças ao patrimônio cultural serão punidos, na forma da lei.</w:t>
      </w: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r w:rsidRPr="00B077D5">
        <w:rPr>
          <w:rFonts w:ascii="Garamond" w:eastAsia="Times New Roman" w:hAnsi="Garamond" w:cs="Times New Roman"/>
          <w:kern w:val="0"/>
          <w:lang w:eastAsia="pt-BR" w:bidi="ar-SA"/>
        </w:rPr>
        <w:t>Assim, por força do novo texto constitucional o tombamento – antes visto, já de forma equivocada, como o único instrumento de preservação do patrimônio cultural exi</w:t>
      </w:r>
      <w:r w:rsidRPr="00B077D5">
        <w:rPr>
          <w:rFonts w:ascii="Garamond" w:eastAsia="Times New Roman" w:hAnsi="Garamond" w:cs="Times New Roman"/>
          <w:kern w:val="0"/>
          <w:lang w:eastAsia="pt-BR" w:bidi="ar-SA"/>
        </w:rPr>
        <w:t>s</w:t>
      </w:r>
      <w:r w:rsidRPr="00B077D5">
        <w:rPr>
          <w:rFonts w:ascii="Garamond" w:eastAsia="Times New Roman" w:hAnsi="Garamond" w:cs="Times New Roman"/>
          <w:kern w:val="0"/>
          <w:lang w:eastAsia="pt-BR" w:bidi="ar-SA"/>
        </w:rPr>
        <w:t>tente no ordenamento jurídico brasileiro – passou a ser considerado como apenas um d</w:t>
      </w:r>
      <w:r w:rsidRPr="00B077D5">
        <w:rPr>
          <w:rFonts w:ascii="Garamond" w:eastAsia="Times New Roman" w:hAnsi="Garamond" w:cs="Times New Roman"/>
          <w:kern w:val="0"/>
          <w:lang w:eastAsia="pt-BR" w:bidi="ar-SA"/>
        </w:rPr>
        <w:t>e</w:t>
      </w:r>
      <w:r w:rsidRPr="00B077D5">
        <w:rPr>
          <w:rFonts w:ascii="Garamond" w:eastAsia="Times New Roman" w:hAnsi="Garamond" w:cs="Times New Roman"/>
          <w:kern w:val="0"/>
          <w:lang w:eastAsia="pt-BR" w:bidi="ar-SA"/>
        </w:rPr>
        <w:t>les. Mas mesmo assim, infelizmente é ainda recorrente o senso comum confundir tomb</w:t>
      </w:r>
      <w:r w:rsidRPr="00B077D5">
        <w:rPr>
          <w:rFonts w:ascii="Garamond" w:eastAsia="Times New Roman" w:hAnsi="Garamond" w:cs="Times New Roman"/>
          <w:kern w:val="0"/>
          <w:lang w:eastAsia="pt-BR" w:bidi="ar-SA"/>
        </w:rPr>
        <w:t>a</w:t>
      </w:r>
      <w:r w:rsidRPr="00B077D5">
        <w:rPr>
          <w:rFonts w:ascii="Garamond" w:eastAsia="Times New Roman" w:hAnsi="Garamond" w:cs="Times New Roman"/>
          <w:kern w:val="0"/>
          <w:lang w:eastAsia="pt-BR" w:bidi="ar-SA"/>
        </w:rPr>
        <w:t>mento com proteção ao patrimônio cultural. A proteção pode se dar por diversas formas, inclusive pelo tombamento, mas não somente por ele</w:t>
      </w:r>
      <w:r w:rsidRPr="00B077D5">
        <w:rPr>
          <w:rFonts w:ascii="Garamond" w:eastAsia="Times New Roman" w:hAnsi="Garamond" w:cs="Times New Roman"/>
          <w:kern w:val="0"/>
          <w:vertAlign w:val="superscript"/>
          <w:lang w:eastAsia="pt-BR" w:bidi="ar-SA"/>
        </w:rPr>
        <w:footnoteReference w:id="11"/>
      </w:r>
      <w:r w:rsidRPr="00B077D5">
        <w:rPr>
          <w:rFonts w:ascii="Garamond" w:eastAsia="Times New Roman" w:hAnsi="Garamond" w:cs="Times New Roman"/>
          <w:kern w:val="0"/>
          <w:lang w:eastAsia="pt-BR" w:bidi="ar-SA"/>
        </w:rPr>
        <w:t>.</w:t>
      </w: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u w:val="single"/>
          <w:lang w:eastAsia="pt-BR" w:bidi="ar-SA"/>
        </w:rPr>
      </w:pPr>
      <w:r w:rsidRPr="00B077D5">
        <w:rPr>
          <w:rFonts w:ascii="Garamond" w:eastAsia="Times New Roman" w:hAnsi="Garamond" w:cs="Times New Roman"/>
          <w:kern w:val="0"/>
          <w:lang w:eastAsia="pt-BR" w:bidi="ar-SA"/>
        </w:rPr>
        <w:t>A partir da Constituição Federal de 1988, o inventário, por opção do legislador, passou a ser um instrumento de acautelamento de bens culturais. O inventário é um in</w:t>
      </w:r>
      <w:r w:rsidRPr="00B077D5">
        <w:rPr>
          <w:rFonts w:ascii="Garamond" w:eastAsia="Times New Roman" w:hAnsi="Garamond" w:cs="Times New Roman"/>
          <w:kern w:val="0"/>
          <w:lang w:eastAsia="pt-BR" w:bidi="ar-SA"/>
        </w:rPr>
        <w:t>s</w:t>
      </w:r>
      <w:r w:rsidRPr="00B077D5">
        <w:rPr>
          <w:rFonts w:ascii="Garamond" w:eastAsia="Times New Roman" w:hAnsi="Garamond" w:cs="Times New Roman"/>
          <w:kern w:val="0"/>
          <w:lang w:eastAsia="pt-BR" w:bidi="ar-SA"/>
        </w:rPr>
        <w:t xml:space="preserve">trumento diferente do instrumento do tombamento, </w:t>
      </w:r>
      <w:r w:rsidRPr="00B077D5">
        <w:rPr>
          <w:rFonts w:ascii="Garamond" w:eastAsia="Times New Roman" w:hAnsi="Garamond" w:cs="Times New Roman"/>
          <w:kern w:val="0"/>
          <w:u w:val="single"/>
          <w:lang w:eastAsia="pt-BR" w:bidi="ar-SA"/>
        </w:rPr>
        <w:t xml:space="preserve">mas a demolição de bens culturais inventariados tem que ser profundamente avaliada por meio de estudos que comprovem </w:t>
      </w:r>
      <w:r w:rsidRPr="00B077D5">
        <w:rPr>
          <w:rFonts w:ascii="Garamond" w:eastAsia="Times New Roman" w:hAnsi="Garamond" w:cs="Times New Roman"/>
          <w:kern w:val="0"/>
          <w:u w:val="single"/>
          <w:lang w:eastAsia="pt-BR" w:bidi="ar-SA"/>
        </w:rPr>
        <w:lastRenderedPageBreak/>
        <w:t xml:space="preserve">não haver perda para o patrimônio cultural, sendo que eventuais demolições devem ser aprovadas pelos órgãos de patrimônio locais. </w:t>
      </w: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p>
    <w:p w:rsidR="00B077D5" w:rsidRPr="00B077D5" w:rsidRDefault="00B077D5" w:rsidP="00B077D5">
      <w:pPr>
        <w:widowControl/>
        <w:suppressAutoHyphens w:val="0"/>
        <w:autoSpaceDN/>
        <w:spacing w:line="276" w:lineRule="auto"/>
        <w:ind w:firstLine="720"/>
        <w:jc w:val="both"/>
        <w:textAlignment w:val="auto"/>
        <w:rPr>
          <w:rFonts w:ascii="Garamond" w:eastAsia="Times New Roman" w:hAnsi="Garamond" w:cs="Times New Roman"/>
          <w:kern w:val="0"/>
          <w:lang w:eastAsia="pt-BR" w:bidi="ar-SA"/>
        </w:rPr>
      </w:pPr>
      <w:r w:rsidRPr="00B077D5">
        <w:rPr>
          <w:rFonts w:ascii="Garamond" w:eastAsia="Times New Roman" w:hAnsi="Garamond" w:cs="Times New Roman"/>
          <w:kern w:val="0"/>
          <w:lang w:eastAsia="pt-BR" w:bidi="ar-SA"/>
        </w:rPr>
        <w:t xml:space="preserve">A partir da confecção da ficha de inventário, passa a incidir a seguinte definição de crimes prevista na Lei Federal de Crimes Ambientais, nº 9.605, de 12 de fevereiro de 1998: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Seção IV - Dos Crimes contra o Ordenamento Urbano e o Patrimônio Cultural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Art. 62. Destruir, inutilizar ou deteriorar: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I - bem especialmente protegido por lei, </w:t>
      </w:r>
      <w:r w:rsidRPr="00196ECF">
        <w:rPr>
          <w:rFonts w:ascii="Garamond" w:eastAsia="Arial Unicode MS" w:hAnsi="Garamond" w:cs="Times New Roman"/>
          <w:kern w:val="0"/>
          <w:sz w:val="22"/>
          <w:u w:val="single"/>
          <w:lang w:eastAsia="pt-BR" w:bidi="ar-SA"/>
        </w:rPr>
        <w:t>ato administrativo</w:t>
      </w:r>
      <w:r w:rsidRPr="00B077D5">
        <w:rPr>
          <w:rFonts w:ascii="Garamond" w:eastAsia="Arial Unicode MS" w:hAnsi="Garamond" w:cs="Times New Roman"/>
          <w:kern w:val="0"/>
          <w:sz w:val="22"/>
          <w:lang w:eastAsia="pt-BR" w:bidi="ar-SA"/>
        </w:rPr>
        <w:t xml:space="preserve"> ou decisão j</w:t>
      </w:r>
      <w:r w:rsidRPr="00B077D5">
        <w:rPr>
          <w:rFonts w:ascii="Garamond" w:eastAsia="Arial Unicode MS" w:hAnsi="Garamond" w:cs="Times New Roman"/>
          <w:kern w:val="0"/>
          <w:sz w:val="22"/>
          <w:lang w:eastAsia="pt-BR" w:bidi="ar-SA"/>
        </w:rPr>
        <w:t>u</w:t>
      </w:r>
      <w:r w:rsidRPr="00B077D5">
        <w:rPr>
          <w:rFonts w:ascii="Garamond" w:eastAsia="Arial Unicode MS" w:hAnsi="Garamond" w:cs="Times New Roman"/>
          <w:kern w:val="0"/>
          <w:sz w:val="22"/>
          <w:lang w:eastAsia="pt-BR" w:bidi="ar-SA"/>
        </w:rPr>
        <w:t xml:space="preserve">dicial;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II - arquivo, registro, museu, biblioteca, pinacoteca, instalação científica ou similar protegido por lei, ato administrativo ou decisão judicial: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Pena - reclusão, de um a três anos, e multa.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 xml:space="preserve">Parágrafo único. Se o crime for culposo, a pena é de seis meses a um ano de detenção, sem prejuízo da multa. </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Art. 63. Alterar o aspecto ou estrutura de edificação ou local especialme</w:t>
      </w:r>
      <w:r w:rsidRPr="00B077D5">
        <w:rPr>
          <w:rFonts w:ascii="Garamond" w:eastAsia="Arial Unicode MS" w:hAnsi="Garamond" w:cs="Times New Roman"/>
          <w:kern w:val="0"/>
          <w:sz w:val="22"/>
          <w:lang w:eastAsia="pt-BR" w:bidi="ar-SA"/>
        </w:rPr>
        <w:t>n</w:t>
      </w:r>
      <w:r w:rsidRPr="00B077D5">
        <w:rPr>
          <w:rFonts w:ascii="Garamond" w:eastAsia="Arial Unicode MS" w:hAnsi="Garamond" w:cs="Times New Roman"/>
          <w:kern w:val="0"/>
          <w:sz w:val="22"/>
          <w:lang w:eastAsia="pt-BR" w:bidi="ar-SA"/>
        </w:rPr>
        <w:t>te protegido por lei, ato administrativo ou decisão judicial, em razão de seu valor paisagístico, ecológico, turístico, artístico, histórico, cultural, rel</w:t>
      </w:r>
      <w:r w:rsidRPr="00B077D5">
        <w:rPr>
          <w:rFonts w:ascii="Garamond" w:eastAsia="Arial Unicode MS" w:hAnsi="Garamond" w:cs="Times New Roman"/>
          <w:kern w:val="0"/>
          <w:sz w:val="22"/>
          <w:lang w:eastAsia="pt-BR" w:bidi="ar-SA"/>
        </w:rPr>
        <w:t>i</w:t>
      </w:r>
      <w:r w:rsidRPr="00B077D5">
        <w:rPr>
          <w:rFonts w:ascii="Garamond" w:eastAsia="Arial Unicode MS" w:hAnsi="Garamond" w:cs="Times New Roman"/>
          <w:kern w:val="0"/>
          <w:sz w:val="22"/>
          <w:lang w:eastAsia="pt-BR" w:bidi="ar-SA"/>
        </w:rPr>
        <w:t>gioso, arqueológico, etnográfico ou monumental, sem autorização da a</w:t>
      </w:r>
      <w:r w:rsidRPr="00B077D5">
        <w:rPr>
          <w:rFonts w:ascii="Garamond" w:eastAsia="Arial Unicode MS" w:hAnsi="Garamond" w:cs="Times New Roman"/>
          <w:kern w:val="0"/>
          <w:sz w:val="22"/>
          <w:lang w:eastAsia="pt-BR" w:bidi="ar-SA"/>
        </w:rPr>
        <w:t>u</w:t>
      </w:r>
      <w:r w:rsidRPr="00B077D5">
        <w:rPr>
          <w:rFonts w:ascii="Garamond" w:eastAsia="Arial Unicode MS" w:hAnsi="Garamond" w:cs="Times New Roman"/>
          <w:kern w:val="0"/>
          <w:sz w:val="22"/>
          <w:lang w:eastAsia="pt-BR" w:bidi="ar-SA"/>
        </w:rPr>
        <w:t>toridade competente ou em desacordo com a concedida.</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r w:rsidRPr="00B077D5">
        <w:rPr>
          <w:rFonts w:ascii="Garamond" w:eastAsia="Arial Unicode MS" w:hAnsi="Garamond" w:cs="Times New Roman"/>
          <w:kern w:val="0"/>
          <w:sz w:val="22"/>
          <w:lang w:eastAsia="pt-BR" w:bidi="ar-SA"/>
        </w:rPr>
        <w:t>Pena - reclusão, de um a três anos, e multa.</w:t>
      </w:r>
    </w:p>
    <w:p w:rsidR="00B077D5" w:rsidRPr="00B077D5" w:rsidRDefault="00B077D5" w:rsidP="00B077D5">
      <w:pPr>
        <w:widowControl/>
        <w:suppressAutoHyphens w:val="0"/>
        <w:autoSpaceDN/>
        <w:spacing w:line="276" w:lineRule="auto"/>
        <w:ind w:left="2160"/>
        <w:jc w:val="both"/>
        <w:textAlignment w:val="auto"/>
        <w:rPr>
          <w:rFonts w:ascii="Garamond" w:eastAsia="Arial Unicode MS" w:hAnsi="Garamond" w:cs="Times New Roman"/>
          <w:kern w:val="0"/>
          <w:sz w:val="22"/>
          <w:lang w:eastAsia="pt-BR" w:bidi="ar-SA"/>
        </w:rPr>
      </w:pPr>
    </w:p>
    <w:p w:rsidR="00196ECF" w:rsidRDefault="00B077D5"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sidRPr="00B077D5">
        <w:rPr>
          <w:rFonts w:ascii="Garamond" w:eastAsia="Times New Roman" w:hAnsi="Garamond" w:cs="Times New Roman"/>
          <w:kern w:val="0"/>
          <w:lang w:eastAsia="pt-BR" w:bidi="ar-SA"/>
        </w:rPr>
        <w:t xml:space="preserve">O município </w:t>
      </w:r>
      <w:r w:rsidR="00196ECF">
        <w:rPr>
          <w:rFonts w:ascii="Garamond" w:eastAsia="Times New Roman" w:hAnsi="Garamond" w:cs="Times New Roman"/>
          <w:kern w:val="0"/>
          <w:lang w:eastAsia="pt-BR" w:bidi="ar-SA"/>
        </w:rPr>
        <w:t>de Patos de Minas não possui lei</w:t>
      </w:r>
      <w:r w:rsidRPr="00B077D5">
        <w:rPr>
          <w:rFonts w:ascii="Garamond" w:eastAsia="Times New Roman" w:hAnsi="Garamond" w:cs="Times New Roman"/>
          <w:kern w:val="0"/>
          <w:lang w:eastAsia="pt-BR" w:bidi="ar-SA"/>
        </w:rPr>
        <w:t xml:space="preserve"> regulamentando especificamente os efeitos decorrentes do inventário enquanto instrumento de proteção do patrimônio cult</w:t>
      </w:r>
      <w:r w:rsidRPr="00B077D5">
        <w:rPr>
          <w:rFonts w:ascii="Garamond" w:eastAsia="Times New Roman" w:hAnsi="Garamond" w:cs="Times New Roman"/>
          <w:kern w:val="0"/>
          <w:lang w:eastAsia="pt-BR" w:bidi="ar-SA"/>
        </w:rPr>
        <w:t>u</w:t>
      </w:r>
      <w:r w:rsidRPr="00B077D5">
        <w:rPr>
          <w:rFonts w:ascii="Garamond" w:eastAsia="Times New Roman" w:hAnsi="Garamond" w:cs="Times New Roman"/>
          <w:kern w:val="0"/>
          <w:lang w:eastAsia="pt-BR" w:bidi="ar-SA"/>
        </w:rPr>
        <w:t xml:space="preserve">ral. Entretanto, </w:t>
      </w:r>
      <w:r w:rsidR="00196ECF">
        <w:rPr>
          <w:rFonts w:ascii="Garamond" w:eastAsia="Times New Roman" w:hAnsi="Garamond" w:cs="Times New Roman"/>
          <w:kern w:val="0"/>
          <w:lang w:eastAsia="pt-BR" w:bidi="ar-SA"/>
        </w:rPr>
        <w:t>o inventário é reconhecido na Lei Orgânica Municipal e no Plano Diretor Municipal como instrumento de proteção:</w:t>
      </w:r>
    </w:p>
    <w:p w:rsidR="00196ECF" w:rsidRDefault="00196ECF"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196ECF" w:rsidRDefault="00196ECF"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Segundo a Lei Orgânica:</w:t>
      </w:r>
    </w:p>
    <w:p w:rsidR="00196ECF" w:rsidRDefault="00196ECF"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196ECF" w:rsidRPr="00A97C44" w:rsidRDefault="00196ECF" w:rsidP="00A97C44">
      <w:pPr>
        <w:widowControl/>
        <w:suppressAutoHyphens w:val="0"/>
        <w:autoSpaceDN/>
        <w:spacing w:line="276" w:lineRule="auto"/>
        <w:ind w:left="2124" w:firstLine="1"/>
        <w:jc w:val="both"/>
        <w:textAlignment w:val="auto"/>
        <w:rPr>
          <w:rFonts w:ascii="Garamond" w:eastAsia="Times New Roman" w:hAnsi="Garamond" w:cs="Times New Roman"/>
          <w:kern w:val="0"/>
          <w:sz w:val="22"/>
          <w:szCs w:val="22"/>
          <w:lang w:eastAsia="pt-BR" w:bidi="ar-SA"/>
        </w:rPr>
      </w:pPr>
      <w:r w:rsidRPr="00A97C44">
        <w:rPr>
          <w:rFonts w:ascii="Garamond" w:eastAsia="Times New Roman" w:hAnsi="Garamond" w:cs="Times New Roman"/>
          <w:kern w:val="0"/>
          <w:sz w:val="22"/>
          <w:szCs w:val="22"/>
          <w:lang w:eastAsia="pt-BR" w:bidi="ar-SA"/>
        </w:rPr>
        <w:t>Art. 137 – O Município, com a colaboração da comunidade, protegerá o patrimônio cultural por meio de inventários, registros, vigilância, tomb</w:t>
      </w:r>
      <w:r w:rsidRPr="00A97C44">
        <w:rPr>
          <w:rFonts w:ascii="Garamond" w:eastAsia="Times New Roman" w:hAnsi="Garamond" w:cs="Times New Roman"/>
          <w:kern w:val="0"/>
          <w:sz w:val="22"/>
          <w:szCs w:val="22"/>
          <w:lang w:eastAsia="pt-BR" w:bidi="ar-SA"/>
        </w:rPr>
        <w:t>a</w:t>
      </w:r>
      <w:r w:rsidRPr="00A97C44">
        <w:rPr>
          <w:rFonts w:ascii="Garamond" w:eastAsia="Times New Roman" w:hAnsi="Garamond" w:cs="Times New Roman"/>
          <w:kern w:val="0"/>
          <w:sz w:val="22"/>
          <w:szCs w:val="22"/>
          <w:lang w:eastAsia="pt-BR" w:bidi="ar-SA"/>
        </w:rPr>
        <w:t>mento e desapropriação de outras formas de acautelamento e preservação e, ainda de repressão aos danos e as ameaças a esse patrimônio.</w:t>
      </w:r>
    </w:p>
    <w:p w:rsidR="00196ECF" w:rsidRDefault="00196ECF"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196ECF" w:rsidRPr="00A97C44" w:rsidRDefault="00196ECF" w:rsidP="00A97C44">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sidRPr="00A97C44">
        <w:rPr>
          <w:rFonts w:ascii="Garamond" w:eastAsia="Times New Roman" w:hAnsi="Garamond" w:cs="Times New Roman"/>
          <w:kern w:val="0"/>
          <w:lang w:eastAsia="pt-BR" w:bidi="ar-SA"/>
        </w:rPr>
        <w:t xml:space="preserve">De acordo com a Lei Municipal nº 271/2006, </w:t>
      </w:r>
      <w:r w:rsidR="00A97C44" w:rsidRPr="00A97C44">
        <w:rPr>
          <w:rFonts w:ascii="Garamond" w:eastAsia="Times New Roman" w:hAnsi="Garamond" w:cs="Times New Roman"/>
          <w:kern w:val="0"/>
          <w:lang w:eastAsia="pt-BR" w:bidi="ar-SA"/>
        </w:rPr>
        <w:t xml:space="preserve">que institui a revisão do Plano </w:t>
      </w:r>
      <w:r w:rsidRPr="00A97C44">
        <w:rPr>
          <w:rFonts w:ascii="Garamond" w:eastAsia="Times New Roman" w:hAnsi="Garamond" w:cs="Times New Roman"/>
          <w:kern w:val="0"/>
          <w:lang w:eastAsia="pt-BR" w:bidi="ar-SA"/>
        </w:rPr>
        <w:t>Dir</w:t>
      </w:r>
      <w:r w:rsidRPr="00A97C44">
        <w:rPr>
          <w:rFonts w:ascii="Garamond" w:eastAsia="Times New Roman" w:hAnsi="Garamond" w:cs="Times New Roman"/>
          <w:kern w:val="0"/>
          <w:lang w:eastAsia="pt-BR" w:bidi="ar-SA"/>
        </w:rPr>
        <w:t>e</w:t>
      </w:r>
      <w:r w:rsidRPr="00A97C44">
        <w:rPr>
          <w:rFonts w:ascii="Garamond" w:eastAsia="Times New Roman" w:hAnsi="Garamond" w:cs="Times New Roman"/>
          <w:kern w:val="0"/>
          <w:lang w:eastAsia="pt-BR" w:bidi="ar-SA"/>
        </w:rPr>
        <w:t>tor de Patos de Minas:</w:t>
      </w:r>
    </w:p>
    <w:p w:rsidR="00196ECF" w:rsidRPr="00CE4B72" w:rsidRDefault="00196ECF" w:rsidP="00A97C44">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Art. 27 – São diretrizes da política de preservação do patrimônio cultural:</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 – promover ações que garantem o envolvimento da sociedade local na</w:t>
      </w:r>
      <w:r w:rsidR="00CE4B72" w:rsidRPr="00CE4B72">
        <w:rPr>
          <w:rFonts w:ascii="Garamond" w:eastAsia="Times New Roman" w:hAnsi="Garamond" w:cs="Times New Roman"/>
          <w:kern w:val="0"/>
          <w:sz w:val="22"/>
          <w:szCs w:val="22"/>
          <w:lang w:eastAsia="pt-BR" w:bidi="ar-SA"/>
        </w:rPr>
        <w:t xml:space="preserve"> </w:t>
      </w:r>
      <w:r w:rsidRPr="00CE4B72">
        <w:rPr>
          <w:rFonts w:ascii="Garamond" w:eastAsia="Times New Roman" w:hAnsi="Garamond" w:cs="Times New Roman"/>
          <w:kern w:val="0"/>
          <w:sz w:val="22"/>
          <w:szCs w:val="22"/>
          <w:lang w:eastAsia="pt-BR" w:bidi="ar-SA"/>
        </w:rPr>
        <w:t>preservação dos valores culturais do patrimônio;</w:t>
      </w:r>
    </w:p>
    <w:p w:rsidR="00CE4B72" w:rsidRPr="00CE4B72" w:rsidRDefault="00CE4B72"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 xml:space="preserve"> (...)</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IX - tornar o Plano de Inventários instrumento contínuo de pesqui</w:t>
      </w:r>
      <w:r w:rsidR="00CE4B72" w:rsidRPr="00CE4B72">
        <w:rPr>
          <w:rFonts w:ascii="Garamond" w:eastAsia="Times New Roman" w:hAnsi="Garamond" w:cs="Times New Roman"/>
          <w:kern w:val="0"/>
          <w:sz w:val="22"/>
          <w:szCs w:val="22"/>
          <w:lang w:eastAsia="pt-BR" w:bidi="ar-SA"/>
        </w:rPr>
        <w:t xml:space="preserve">sa, </w:t>
      </w:r>
      <w:proofErr w:type="spellStart"/>
      <w:r w:rsidR="00460092">
        <w:rPr>
          <w:rFonts w:ascii="Garamond" w:eastAsia="Times New Roman" w:hAnsi="Garamond" w:cs="Times New Roman"/>
          <w:kern w:val="0"/>
          <w:sz w:val="22"/>
          <w:szCs w:val="22"/>
          <w:lang w:eastAsia="pt-BR" w:bidi="ar-SA"/>
        </w:rPr>
        <w:t>ref</w:t>
      </w:r>
      <w:r w:rsidR="00460092">
        <w:rPr>
          <w:rFonts w:ascii="Garamond" w:eastAsia="Times New Roman" w:hAnsi="Garamond" w:cs="Times New Roman"/>
          <w:kern w:val="0"/>
          <w:sz w:val="22"/>
          <w:szCs w:val="22"/>
          <w:lang w:eastAsia="pt-BR" w:bidi="ar-SA"/>
        </w:rPr>
        <w:t>e</w:t>
      </w:r>
      <w:r w:rsidRPr="00CE4B72">
        <w:rPr>
          <w:rFonts w:ascii="Garamond" w:eastAsia="Times New Roman" w:hAnsi="Garamond" w:cs="Times New Roman"/>
          <w:kern w:val="0"/>
          <w:sz w:val="22"/>
          <w:szCs w:val="22"/>
          <w:lang w:eastAsia="pt-BR" w:bidi="ar-SA"/>
        </w:rPr>
        <w:t>renciamento</w:t>
      </w:r>
      <w:proofErr w:type="spellEnd"/>
      <w:r w:rsidRPr="00CE4B72">
        <w:rPr>
          <w:rFonts w:ascii="Garamond" w:eastAsia="Times New Roman" w:hAnsi="Garamond" w:cs="Times New Roman"/>
          <w:kern w:val="0"/>
          <w:sz w:val="22"/>
          <w:szCs w:val="22"/>
          <w:lang w:eastAsia="pt-BR" w:bidi="ar-SA"/>
        </w:rPr>
        <w:t xml:space="preserve"> dos resultados, disponibilização ao público e in</w:t>
      </w:r>
      <w:r w:rsidR="00CE4B72" w:rsidRPr="00CE4B72">
        <w:rPr>
          <w:rFonts w:ascii="Garamond" w:eastAsia="Times New Roman" w:hAnsi="Garamond" w:cs="Times New Roman"/>
          <w:kern w:val="0"/>
          <w:sz w:val="22"/>
          <w:szCs w:val="22"/>
          <w:lang w:eastAsia="pt-BR" w:bidi="ar-SA"/>
        </w:rPr>
        <w:t xml:space="preserve">tegração </w:t>
      </w:r>
      <w:r w:rsidRPr="00CE4B72">
        <w:rPr>
          <w:rFonts w:ascii="Garamond" w:eastAsia="Times New Roman" w:hAnsi="Garamond" w:cs="Times New Roman"/>
          <w:kern w:val="0"/>
          <w:sz w:val="22"/>
          <w:szCs w:val="22"/>
          <w:lang w:eastAsia="pt-BR" w:bidi="ar-SA"/>
        </w:rPr>
        <w:t>com o banco de</w:t>
      </w:r>
      <w:r w:rsidR="00CE4B72" w:rsidRPr="00CE4B72">
        <w:rPr>
          <w:rFonts w:ascii="Garamond" w:eastAsia="Times New Roman" w:hAnsi="Garamond" w:cs="Times New Roman"/>
          <w:kern w:val="0"/>
          <w:sz w:val="22"/>
          <w:szCs w:val="22"/>
          <w:lang w:eastAsia="pt-BR" w:bidi="ar-SA"/>
        </w:rPr>
        <w:t xml:space="preserve"> dados do cadastro imobiliário;</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lastRenderedPageBreak/>
        <w:t>X – conjugar instrumentos urbanístic</w:t>
      </w:r>
      <w:r w:rsidR="00CE4B72" w:rsidRPr="00CE4B72">
        <w:rPr>
          <w:rFonts w:ascii="Garamond" w:eastAsia="Times New Roman" w:hAnsi="Garamond" w:cs="Times New Roman"/>
          <w:kern w:val="0"/>
          <w:sz w:val="22"/>
          <w:szCs w:val="22"/>
          <w:lang w:eastAsia="pt-BR" w:bidi="ar-SA"/>
        </w:rPr>
        <w:t xml:space="preserve">os tais como a transferência do </w:t>
      </w:r>
      <w:r w:rsidRPr="00CE4B72">
        <w:rPr>
          <w:rFonts w:ascii="Garamond" w:eastAsia="Times New Roman" w:hAnsi="Garamond" w:cs="Times New Roman"/>
          <w:kern w:val="0"/>
          <w:sz w:val="22"/>
          <w:szCs w:val="22"/>
          <w:lang w:eastAsia="pt-BR" w:bidi="ar-SA"/>
        </w:rPr>
        <w:t>dire</w:t>
      </w:r>
      <w:r w:rsidRPr="00CE4B72">
        <w:rPr>
          <w:rFonts w:ascii="Garamond" w:eastAsia="Times New Roman" w:hAnsi="Garamond" w:cs="Times New Roman"/>
          <w:kern w:val="0"/>
          <w:sz w:val="22"/>
          <w:szCs w:val="22"/>
          <w:lang w:eastAsia="pt-BR" w:bidi="ar-SA"/>
        </w:rPr>
        <w:t>i</w:t>
      </w:r>
      <w:r w:rsidRPr="00CE4B72">
        <w:rPr>
          <w:rFonts w:ascii="Garamond" w:eastAsia="Times New Roman" w:hAnsi="Garamond" w:cs="Times New Roman"/>
          <w:kern w:val="0"/>
          <w:sz w:val="22"/>
          <w:szCs w:val="22"/>
          <w:lang w:eastAsia="pt-BR" w:bidi="ar-SA"/>
        </w:rPr>
        <w:t xml:space="preserve">to de construir, o direito </w:t>
      </w:r>
      <w:r w:rsidR="00CE4B72" w:rsidRPr="00CE4B72">
        <w:rPr>
          <w:rFonts w:ascii="Garamond" w:eastAsia="Times New Roman" w:hAnsi="Garamond" w:cs="Times New Roman"/>
          <w:kern w:val="0"/>
          <w:sz w:val="22"/>
          <w:szCs w:val="22"/>
          <w:lang w:eastAsia="pt-BR" w:bidi="ar-SA"/>
        </w:rPr>
        <w:t xml:space="preserve">de preempção, a operação urbana </w:t>
      </w:r>
      <w:r w:rsidRPr="00CE4B72">
        <w:rPr>
          <w:rFonts w:ascii="Garamond" w:eastAsia="Times New Roman" w:hAnsi="Garamond" w:cs="Times New Roman"/>
          <w:kern w:val="0"/>
          <w:sz w:val="22"/>
          <w:szCs w:val="22"/>
          <w:lang w:eastAsia="pt-BR" w:bidi="ar-SA"/>
        </w:rPr>
        <w:t xml:space="preserve">consorciada e o estabelecimento de </w:t>
      </w:r>
      <w:r w:rsidR="00CE4B72" w:rsidRPr="00CE4B72">
        <w:rPr>
          <w:rFonts w:ascii="Garamond" w:eastAsia="Times New Roman" w:hAnsi="Garamond" w:cs="Times New Roman"/>
          <w:kern w:val="0"/>
          <w:sz w:val="22"/>
          <w:szCs w:val="22"/>
          <w:lang w:eastAsia="pt-BR" w:bidi="ar-SA"/>
        </w:rPr>
        <w:t xml:space="preserve">áreas especiais de interesse de </w:t>
      </w:r>
      <w:r w:rsidRPr="00CE4B72">
        <w:rPr>
          <w:rFonts w:ascii="Garamond" w:eastAsia="Times New Roman" w:hAnsi="Garamond" w:cs="Times New Roman"/>
          <w:kern w:val="0"/>
          <w:sz w:val="22"/>
          <w:szCs w:val="22"/>
          <w:lang w:eastAsia="pt-BR" w:bidi="ar-SA"/>
        </w:rPr>
        <w:t>proteção ao patrimônio histórico e cultura</w:t>
      </w:r>
      <w:r w:rsidR="00CE4B72" w:rsidRPr="00CE4B72">
        <w:rPr>
          <w:rFonts w:ascii="Garamond" w:eastAsia="Times New Roman" w:hAnsi="Garamond" w:cs="Times New Roman"/>
          <w:kern w:val="0"/>
          <w:sz w:val="22"/>
          <w:szCs w:val="22"/>
          <w:lang w:eastAsia="pt-BR" w:bidi="ar-SA"/>
        </w:rPr>
        <w:t xml:space="preserve">l para a efetiva preservação de </w:t>
      </w:r>
      <w:r w:rsidRPr="00CE4B72">
        <w:rPr>
          <w:rFonts w:ascii="Garamond" w:eastAsia="Times New Roman" w:hAnsi="Garamond" w:cs="Times New Roman"/>
          <w:kern w:val="0"/>
          <w:sz w:val="22"/>
          <w:szCs w:val="22"/>
          <w:lang w:eastAsia="pt-BR" w:bidi="ar-SA"/>
        </w:rPr>
        <w:t>bens imóveis e con</w:t>
      </w:r>
      <w:r w:rsidR="00CE4B72" w:rsidRPr="00CE4B72">
        <w:rPr>
          <w:rFonts w:ascii="Garamond" w:eastAsia="Times New Roman" w:hAnsi="Garamond" w:cs="Times New Roman"/>
          <w:kern w:val="0"/>
          <w:sz w:val="22"/>
          <w:szCs w:val="22"/>
          <w:lang w:eastAsia="pt-BR" w:bidi="ar-SA"/>
        </w:rPr>
        <w:t>juntos urbanos.</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Art. 28. Os objetivos da Política Municipal de Patrimônio Cultural serão</w:t>
      </w:r>
      <w:r w:rsidR="00CE4B72" w:rsidRPr="00CE4B72">
        <w:rPr>
          <w:rFonts w:ascii="Garamond" w:eastAsia="Times New Roman" w:hAnsi="Garamond" w:cs="Times New Roman"/>
          <w:kern w:val="0"/>
          <w:sz w:val="22"/>
          <w:szCs w:val="22"/>
          <w:lang w:eastAsia="pt-BR" w:bidi="ar-SA"/>
        </w:rPr>
        <w:t xml:space="preserve"> </w:t>
      </w:r>
      <w:r w:rsidRPr="00CE4B72">
        <w:rPr>
          <w:rFonts w:ascii="Garamond" w:eastAsia="Times New Roman" w:hAnsi="Garamond" w:cs="Times New Roman"/>
          <w:kern w:val="0"/>
          <w:sz w:val="22"/>
          <w:szCs w:val="22"/>
          <w:lang w:eastAsia="pt-BR" w:bidi="ar-SA"/>
        </w:rPr>
        <w:t>implementados através de Plano Municipal de Patrimônio Cul</w:t>
      </w:r>
      <w:r w:rsidR="00CE4B72" w:rsidRPr="00CE4B72">
        <w:rPr>
          <w:rFonts w:ascii="Garamond" w:eastAsia="Times New Roman" w:hAnsi="Garamond" w:cs="Times New Roman"/>
          <w:kern w:val="0"/>
          <w:sz w:val="22"/>
          <w:szCs w:val="22"/>
          <w:lang w:eastAsia="pt-BR" w:bidi="ar-SA"/>
        </w:rPr>
        <w:t xml:space="preserve">tural, </w:t>
      </w:r>
      <w:r w:rsidRPr="00CE4B72">
        <w:rPr>
          <w:rFonts w:ascii="Garamond" w:eastAsia="Times New Roman" w:hAnsi="Garamond" w:cs="Times New Roman"/>
          <w:kern w:val="0"/>
          <w:sz w:val="22"/>
          <w:szCs w:val="22"/>
          <w:lang w:eastAsia="pt-BR" w:bidi="ar-SA"/>
        </w:rPr>
        <w:t>instit</w:t>
      </w:r>
      <w:r w:rsidRPr="00CE4B72">
        <w:rPr>
          <w:rFonts w:ascii="Garamond" w:eastAsia="Times New Roman" w:hAnsi="Garamond" w:cs="Times New Roman"/>
          <w:kern w:val="0"/>
          <w:sz w:val="22"/>
          <w:szCs w:val="22"/>
          <w:lang w:eastAsia="pt-BR" w:bidi="ar-SA"/>
        </w:rPr>
        <w:t>u</w:t>
      </w:r>
      <w:r w:rsidRPr="00CE4B72">
        <w:rPr>
          <w:rFonts w:ascii="Garamond" w:eastAsia="Times New Roman" w:hAnsi="Garamond" w:cs="Times New Roman"/>
          <w:kern w:val="0"/>
          <w:sz w:val="22"/>
          <w:szCs w:val="22"/>
          <w:lang w:eastAsia="pt-BR" w:bidi="ar-SA"/>
        </w:rPr>
        <w:t xml:space="preserve">ído através </w:t>
      </w:r>
      <w:r w:rsidR="00CE4B72" w:rsidRPr="00CE4B72">
        <w:rPr>
          <w:rFonts w:ascii="Garamond" w:eastAsia="Times New Roman" w:hAnsi="Garamond" w:cs="Times New Roman"/>
          <w:kern w:val="0"/>
          <w:sz w:val="22"/>
          <w:szCs w:val="22"/>
          <w:lang w:eastAsia="pt-BR" w:bidi="ar-SA"/>
        </w:rPr>
        <w:t>de lei específica, que conterá:</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 - diagnóstico esp</w:t>
      </w:r>
      <w:r w:rsidR="00CE4B72" w:rsidRPr="00CE4B72">
        <w:rPr>
          <w:rFonts w:ascii="Garamond" w:eastAsia="Times New Roman" w:hAnsi="Garamond" w:cs="Times New Roman"/>
          <w:kern w:val="0"/>
          <w:sz w:val="22"/>
          <w:szCs w:val="22"/>
          <w:lang w:eastAsia="pt-BR" w:bidi="ar-SA"/>
        </w:rPr>
        <w:t>ecífico de patrimônio cultural;</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II - diretrizes para a preservação e pr</w:t>
      </w:r>
      <w:r w:rsidR="00CE4B72" w:rsidRPr="00CE4B72">
        <w:rPr>
          <w:rFonts w:ascii="Garamond" w:eastAsia="Times New Roman" w:hAnsi="Garamond" w:cs="Times New Roman"/>
          <w:kern w:val="0"/>
          <w:sz w:val="22"/>
          <w:szCs w:val="22"/>
          <w:lang w:eastAsia="pt-BR" w:bidi="ar-SA"/>
        </w:rPr>
        <w:t>oteção do patrimônio material e im</w:t>
      </w:r>
      <w:r w:rsidR="00CE4B72" w:rsidRPr="00CE4B72">
        <w:rPr>
          <w:rFonts w:ascii="Garamond" w:eastAsia="Times New Roman" w:hAnsi="Garamond" w:cs="Times New Roman"/>
          <w:kern w:val="0"/>
          <w:sz w:val="22"/>
          <w:szCs w:val="22"/>
          <w:lang w:eastAsia="pt-BR" w:bidi="ar-SA"/>
        </w:rPr>
        <w:t>a</w:t>
      </w:r>
      <w:r w:rsidR="00CE4B72" w:rsidRPr="00CE4B72">
        <w:rPr>
          <w:rFonts w:ascii="Garamond" w:eastAsia="Times New Roman" w:hAnsi="Garamond" w:cs="Times New Roman"/>
          <w:kern w:val="0"/>
          <w:sz w:val="22"/>
          <w:szCs w:val="22"/>
          <w:lang w:eastAsia="pt-BR" w:bidi="ar-SA"/>
        </w:rPr>
        <w:t>terial;</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III - forma de gestão da política de patrimônio cultural;</w:t>
      </w:r>
    </w:p>
    <w:p w:rsidR="00CE4B72" w:rsidRPr="00CE4B72" w:rsidRDefault="00CE4B72"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IV - plano de Inventários;</w:t>
      </w:r>
    </w:p>
    <w:p w:rsidR="00CE4B72"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V - inventário de Proteção de Acervo Cul</w:t>
      </w:r>
      <w:r w:rsidR="00CE4B72" w:rsidRPr="00CE4B72">
        <w:rPr>
          <w:rFonts w:ascii="Garamond" w:eastAsia="Times New Roman" w:hAnsi="Garamond" w:cs="Times New Roman"/>
          <w:kern w:val="0"/>
          <w:sz w:val="22"/>
          <w:szCs w:val="22"/>
          <w:lang w:eastAsia="pt-BR" w:bidi="ar-SA"/>
        </w:rPr>
        <w:t>tural;</w:t>
      </w:r>
    </w:p>
    <w:p w:rsidR="00196ECF" w:rsidRPr="00CE4B72" w:rsidRDefault="00196ECF" w:rsidP="00CE4B72">
      <w:pPr>
        <w:widowControl/>
        <w:suppressAutoHyphens w:val="0"/>
        <w:autoSpaceDN/>
        <w:spacing w:line="276" w:lineRule="auto"/>
        <w:ind w:left="2124"/>
        <w:jc w:val="both"/>
        <w:textAlignment w:val="auto"/>
        <w:rPr>
          <w:rFonts w:ascii="Garamond" w:eastAsia="Times New Roman" w:hAnsi="Garamond" w:cs="Times New Roman"/>
          <w:kern w:val="0"/>
          <w:sz w:val="22"/>
          <w:szCs w:val="22"/>
          <w:lang w:eastAsia="pt-BR" w:bidi="ar-SA"/>
        </w:rPr>
      </w:pPr>
      <w:r w:rsidRPr="00CE4B72">
        <w:rPr>
          <w:rFonts w:ascii="Garamond" w:eastAsia="Times New Roman" w:hAnsi="Garamond" w:cs="Times New Roman"/>
          <w:kern w:val="0"/>
          <w:sz w:val="22"/>
          <w:szCs w:val="22"/>
          <w:lang w:eastAsia="pt-BR" w:bidi="ar-SA"/>
        </w:rPr>
        <w:t>VI - definição de bens de interesse de preservação;</w:t>
      </w:r>
    </w:p>
    <w:p w:rsidR="00196ECF" w:rsidRDefault="00196ECF" w:rsidP="00196ECF">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B077D5" w:rsidRPr="00B077D5" w:rsidRDefault="00CE4B72" w:rsidP="00B077D5">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 xml:space="preserve">O município </w:t>
      </w:r>
      <w:r w:rsidR="00B077D5" w:rsidRPr="00B077D5">
        <w:rPr>
          <w:rFonts w:ascii="Garamond" w:eastAsia="Times New Roman" w:hAnsi="Garamond" w:cs="Times New Roman"/>
          <w:kern w:val="0"/>
          <w:lang w:eastAsia="pt-BR" w:bidi="ar-SA"/>
        </w:rPr>
        <w:t>possui uma Diretoria de Patrimônio Cultural e conselho de Patrim</w:t>
      </w:r>
      <w:r w:rsidR="00B077D5" w:rsidRPr="00B077D5">
        <w:rPr>
          <w:rFonts w:ascii="Garamond" w:eastAsia="Times New Roman" w:hAnsi="Garamond" w:cs="Times New Roman"/>
          <w:kern w:val="0"/>
          <w:lang w:eastAsia="pt-BR" w:bidi="ar-SA"/>
        </w:rPr>
        <w:t>ô</w:t>
      </w:r>
      <w:r w:rsidR="00B077D5" w:rsidRPr="00B077D5">
        <w:rPr>
          <w:rFonts w:ascii="Garamond" w:eastAsia="Times New Roman" w:hAnsi="Garamond" w:cs="Times New Roman"/>
          <w:kern w:val="0"/>
          <w:lang w:eastAsia="pt-BR" w:bidi="ar-SA"/>
        </w:rPr>
        <w:t xml:space="preserve">nio Cultural ativo, com especialistas, e atribuição específica de zelar pela preservação do patrimônio histórico e artístico do município. </w:t>
      </w:r>
    </w:p>
    <w:p w:rsidR="00B077D5" w:rsidRDefault="00B077D5" w:rsidP="00B077D5">
      <w:pPr>
        <w:widowControl/>
        <w:suppressAutoHyphens w:val="0"/>
        <w:autoSpaceDN/>
        <w:spacing w:line="276" w:lineRule="auto"/>
        <w:ind w:firstLine="709"/>
        <w:jc w:val="both"/>
        <w:textAlignment w:val="auto"/>
        <w:rPr>
          <w:rFonts w:ascii="Garamond" w:eastAsia="Times New Roman" w:hAnsi="Garamond" w:cs="Times New Roman"/>
          <w:kern w:val="0"/>
          <w:u w:val="single"/>
          <w:lang w:eastAsia="pt-BR" w:bidi="ar-SA"/>
        </w:rPr>
      </w:pPr>
    </w:p>
    <w:p w:rsidR="00CE4B72" w:rsidRPr="00B077D5" w:rsidRDefault="00CE4B72" w:rsidP="00CE4B72">
      <w:pPr>
        <w:widowControl/>
        <w:suppressAutoHyphens w:val="0"/>
        <w:autoSpaceDN/>
        <w:spacing w:line="276" w:lineRule="auto"/>
        <w:ind w:firstLine="720"/>
        <w:jc w:val="both"/>
        <w:textAlignment w:val="auto"/>
        <w:rPr>
          <w:rFonts w:ascii="Garamond" w:eastAsia="Times New Roman" w:hAnsi="Garamond" w:cs="Times New Roman"/>
          <w:kern w:val="0"/>
          <w:u w:val="single"/>
          <w:lang w:eastAsia="pt-BR" w:bidi="ar-SA"/>
        </w:rPr>
      </w:pPr>
      <w:r>
        <w:rPr>
          <w:rFonts w:ascii="Garamond" w:eastAsia="Times New Roman" w:hAnsi="Garamond" w:cs="Times New Roman"/>
          <w:kern w:val="0"/>
          <w:u w:val="single"/>
          <w:lang w:eastAsia="pt-BR" w:bidi="ar-SA"/>
        </w:rPr>
        <w:t>Por todo o exposto, este Setor Técnico entende que o</w:t>
      </w:r>
      <w:r w:rsidRPr="00B077D5">
        <w:rPr>
          <w:rFonts w:ascii="Garamond" w:eastAsia="Times New Roman" w:hAnsi="Garamond" w:cs="Times New Roman"/>
          <w:kern w:val="0"/>
          <w:u w:val="single"/>
          <w:lang w:eastAsia="pt-BR" w:bidi="ar-SA"/>
        </w:rPr>
        <w:t xml:space="preserve"> inventário feito pelos mun</w:t>
      </w:r>
      <w:r w:rsidRPr="00B077D5">
        <w:rPr>
          <w:rFonts w:ascii="Garamond" w:eastAsia="Times New Roman" w:hAnsi="Garamond" w:cs="Times New Roman"/>
          <w:kern w:val="0"/>
          <w:u w:val="single"/>
          <w:lang w:eastAsia="pt-BR" w:bidi="ar-SA"/>
        </w:rPr>
        <w:t>i</w:t>
      </w:r>
      <w:r w:rsidRPr="00B077D5">
        <w:rPr>
          <w:rFonts w:ascii="Garamond" w:eastAsia="Times New Roman" w:hAnsi="Garamond" w:cs="Times New Roman"/>
          <w:kern w:val="0"/>
          <w:u w:val="single"/>
          <w:lang w:eastAsia="pt-BR" w:bidi="ar-SA"/>
        </w:rPr>
        <w:t>cípios tem efeito de proteção. Para tanto, o município investigou seu patrimônio para el</w:t>
      </w:r>
      <w:r w:rsidRPr="00B077D5">
        <w:rPr>
          <w:rFonts w:ascii="Garamond" w:eastAsia="Times New Roman" w:hAnsi="Garamond" w:cs="Times New Roman"/>
          <w:kern w:val="0"/>
          <w:u w:val="single"/>
          <w:lang w:eastAsia="pt-BR" w:bidi="ar-SA"/>
        </w:rPr>
        <w:t>e</w:t>
      </w:r>
      <w:r w:rsidRPr="00B077D5">
        <w:rPr>
          <w:rFonts w:ascii="Garamond" w:eastAsia="Times New Roman" w:hAnsi="Garamond" w:cs="Times New Roman"/>
          <w:kern w:val="0"/>
          <w:u w:val="single"/>
          <w:lang w:eastAsia="pt-BR" w:bidi="ar-SA"/>
        </w:rPr>
        <w:t>ger os bens que seriam inventariados de acordo com os critérios pré-definidos em seu Pl</w:t>
      </w:r>
      <w:r w:rsidRPr="00B077D5">
        <w:rPr>
          <w:rFonts w:ascii="Garamond" w:eastAsia="Times New Roman" w:hAnsi="Garamond" w:cs="Times New Roman"/>
          <w:kern w:val="0"/>
          <w:u w:val="single"/>
          <w:lang w:eastAsia="pt-BR" w:bidi="ar-SA"/>
        </w:rPr>
        <w:t>a</w:t>
      </w:r>
      <w:r w:rsidRPr="00B077D5">
        <w:rPr>
          <w:rFonts w:ascii="Garamond" w:eastAsia="Times New Roman" w:hAnsi="Garamond" w:cs="Times New Roman"/>
          <w:kern w:val="0"/>
          <w:u w:val="single"/>
          <w:lang w:eastAsia="pt-BR" w:bidi="ar-SA"/>
        </w:rPr>
        <w:t>no de Inventário. Este foi apresentado e aprovado pelo IEPHA passando a ser um co</w:t>
      </w:r>
      <w:r w:rsidRPr="00B077D5">
        <w:rPr>
          <w:rFonts w:ascii="Garamond" w:eastAsia="Times New Roman" w:hAnsi="Garamond" w:cs="Times New Roman"/>
          <w:kern w:val="0"/>
          <w:u w:val="single"/>
          <w:lang w:eastAsia="pt-BR" w:bidi="ar-SA"/>
        </w:rPr>
        <w:t>m</w:t>
      </w:r>
      <w:r w:rsidRPr="00B077D5">
        <w:rPr>
          <w:rFonts w:ascii="Garamond" w:eastAsia="Times New Roman" w:hAnsi="Garamond" w:cs="Times New Roman"/>
          <w:kern w:val="0"/>
          <w:u w:val="single"/>
          <w:lang w:eastAsia="pt-BR" w:bidi="ar-SA"/>
        </w:rPr>
        <w:t>promisso do município para efeito de pontuação do atributo.</w:t>
      </w:r>
    </w:p>
    <w:p w:rsidR="00CE4B72" w:rsidRPr="00B077D5" w:rsidRDefault="00CE4B72" w:rsidP="00B077D5">
      <w:pPr>
        <w:widowControl/>
        <w:suppressAutoHyphens w:val="0"/>
        <w:autoSpaceDN/>
        <w:spacing w:line="276" w:lineRule="auto"/>
        <w:ind w:firstLine="709"/>
        <w:jc w:val="both"/>
        <w:textAlignment w:val="auto"/>
        <w:rPr>
          <w:rFonts w:ascii="Garamond" w:eastAsia="Times New Roman" w:hAnsi="Garamond" w:cs="Times New Roman"/>
          <w:kern w:val="0"/>
          <w:u w:val="single"/>
          <w:lang w:eastAsia="pt-BR" w:bidi="ar-SA"/>
        </w:rPr>
      </w:pPr>
    </w:p>
    <w:p w:rsidR="00277EF2" w:rsidRDefault="00CE4B72" w:rsidP="00277EF2">
      <w:pPr>
        <w:widowControl/>
        <w:suppressAutoHyphens w:val="0"/>
        <w:autoSpaceDN/>
        <w:spacing w:line="276" w:lineRule="auto"/>
        <w:ind w:firstLine="709"/>
        <w:jc w:val="both"/>
        <w:textAlignment w:val="auto"/>
        <w:rPr>
          <w:rFonts w:ascii="Garamond" w:eastAsia="Arial Unicode MS" w:hAnsi="Garamond" w:cs="Times New Roman"/>
          <w:kern w:val="0"/>
          <w:lang w:eastAsia="pt-BR" w:bidi="ar-SA"/>
        </w:rPr>
      </w:pPr>
      <w:r w:rsidRPr="00304FD1">
        <w:rPr>
          <w:rFonts w:ascii="Garamond" w:eastAsia="Arial Unicode MS" w:hAnsi="Garamond" w:cs="Times New Roman"/>
          <w:kern w:val="0"/>
          <w:u w:val="single"/>
          <w:lang w:eastAsia="pt-BR" w:bidi="ar-SA"/>
        </w:rPr>
        <w:t xml:space="preserve">Sendo assim, não cabe o cancelamento do inventário ou a retirada </w:t>
      </w:r>
      <w:r w:rsidR="00277EF2" w:rsidRPr="00304FD1">
        <w:rPr>
          <w:rFonts w:ascii="Garamond" w:eastAsia="Arial Unicode MS" w:hAnsi="Garamond" w:cs="Times New Roman"/>
          <w:kern w:val="0"/>
          <w:u w:val="single"/>
          <w:lang w:eastAsia="pt-BR" w:bidi="ar-SA"/>
        </w:rPr>
        <w:t>do mesmo do rol de bens inventariados, a não ser que tenham ocorrido erros técnicos na elaboração da ficha de inventário</w:t>
      </w:r>
      <w:r w:rsidR="00277EF2">
        <w:rPr>
          <w:rFonts w:ascii="Garamond" w:eastAsia="Arial Unicode MS" w:hAnsi="Garamond" w:cs="Times New Roman"/>
          <w:kern w:val="0"/>
          <w:lang w:eastAsia="pt-BR" w:bidi="ar-SA"/>
        </w:rPr>
        <w:t xml:space="preserve">. </w:t>
      </w:r>
      <w:r w:rsidRPr="00B077D5">
        <w:rPr>
          <w:rFonts w:ascii="Garamond" w:eastAsia="Arial Unicode MS" w:hAnsi="Garamond" w:cs="Times New Roman"/>
          <w:kern w:val="0"/>
          <w:lang w:eastAsia="pt-BR" w:bidi="ar-SA"/>
        </w:rPr>
        <w:t>Ressalta-se q</w:t>
      </w:r>
      <w:r w:rsidR="00277EF2">
        <w:rPr>
          <w:rFonts w:ascii="Garamond" w:eastAsia="Arial Unicode MS" w:hAnsi="Garamond" w:cs="Times New Roman"/>
          <w:kern w:val="0"/>
          <w:lang w:eastAsia="pt-BR" w:bidi="ar-SA"/>
        </w:rPr>
        <w:t xml:space="preserve">ue o valor cultural do bem </w:t>
      </w:r>
      <w:r w:rsidR="00304FD1">
        <w:rPr>
          <w:rFonts w:ascii="Garamond" w:eastAsia="Arial Unicode MS" w:hAnsi="Garamond" w:cs="Times New Roman"/>
          <w:kern w:val="0"/>
          <w:lang w:eastAsia="pt-BR" w:bidi="ar-SA"/>
        </w:rPr>
        <w:t xml:space="preserve">ainda </w:t>
      </w:r>
      <w:r w:rsidR="00277EF2">
        <w:rPr>
          <w:rFonts w:ascii="Garamond" w:eastAsia="Arial Unicode MS" w:hAnsi="Garamond" w:cs="Times New Roman"/>
          <w:kern w:val="0"/>
          <w:lang w:eastAsia="pt-BR" w:bidi="ar-SA"/>
        </w:rPr>
        <w:t xml:space="preserve">foi reforçado pelo Parecer 10 do CONDEPAHC </w:t>
      </w:r>
      <w:r w:rsidR="00277EF2">
        <w:rPr>
          <w:rFonts w:ascii="Garamond" w:hAnsi="Garamond"/>
          <w:kern w:val="0"/>
          <w:lang w:eastAsia="pt-BR"/>
        </w:rPr>
        <w:t>que afirma que o prédio do HNSF é uma referência significativa do modernismo em Patos de Minas e informa em reunião extraordinária do CONDEPAHC</w:t>
      </w:r>
      <w:r w:rsidR="00277EF2">
        <w:rPr>
          <w:rStyle w:val="Refdenotaderodap"/>
          <w:rFonts w:ascii="Garamond" w:hAnsi="Garamond"/>
          <w:kern w:val="0"/>
          <w:lang w:eastAsia="pt-BR"/>
        </w:rPr>
        <w:footnoteReference w:id="12"/>
      </w:r>
      <w:r w:rsidR="00277EF2">
        <w:rPr>
          <w:rFonts w:ascii="Garamond" w:hAnsi="Garamond"/>
          <w:kern w:val="0"/>
          <w:lang w:eastAsia="pt-BR"/>
        </w:rPr>
        <w:t xml:space="preserve"> que o imóvel recebeu a nota 6,78, muito próxima da nota 7 que culminaria no tombame</w:t>
      </w:r>
      <w:r w:rsidR="00277EF2">
        <w:rPr>
          <w:rFonts w:ascii="Garamond" w:hAnsi="Garamond"/>
          <w:kern w:val="0"/>
          <w:lang w:eastAsia="pt-BR"/>
        </w:rPr>
        <w:t>n</w:t>
      </w:r>
      <w:r w:rsidR="00277EF2">
        <w:rPr>
          <w:rFonts w:ascii="Garamond" w:hAnsi="Garamond"/>
          <w:kern w:val="0"/>
          <w:lang w:eastAsia="pt-BR"/>
        </w:rPr>
        <w:t>to, após a análise dos critérios histórico, arquitetônico e urbanístico, mesmo com as dive</w:t>
      </w:r>
      <w:r w:rsidR="00277EF2">
        <w:rPr>
          <w:rFonts w:ascii="Garamond" w:hAnsi="Garamond"/>
          <w:kern w:val="0"/>
          <w:lang w:eastAsia="pt-BR"/>
        </w:rPr>
        <w:t>r</w:t>
      </w:r>
      <w:r w:rsidR="00277EF2">
        <w:rPr>
          <w:rFonts w:ascii="Garamond" w:hAnsi="Garamond"/>
          <w:kern w:val="0"/>
          <w:lang w:eastAsia="pt-BR"/>
        </w:rPr>
        <w:t>sas descaracterizações já realizadas.</w:t>
      </w:r>
    </w:p>
    <w:p w:rsidR="00277EF2" w:rsidRDefault="00277EF2" w:rsidP="00277EF2">
      <w:pPr>
        <w:widowControl/>
        <w:suppressAutoHyphens w:val="0"/>
        <w:autoSpaceDN/>
        <w:spacing w:line="276" w:lineRule="auto"/>
        <w:ind w:firstLine="709"/>
        <w:jc w:val="both"/>
        <w:textAlignment w:val="auto"/>
        <w:rPr>
          <w:rFonts w:ascii="Garamond" w:eastAsia="Arial Unicode MS" w:hAnsi="Garamond" w:cs="Times New Roman"/>
          <w:kern w:val="0"/>
          <w:lang w:eastAsia="pt-BR" w:bidi="ar-SA"/>
        </w:rPr>
      </w:pPr>
    </w:p>
    <w:p w:rsidR="00277EF2" w:rsidRDefault="00277EF2" w:rsidP="00277EF2">
      <w:pPr>
        <w:widowControl/>
        <w:suppressAutoHyphens w:val="0"/>
        <w:autoSpaceDN/>
        <w:spacing w:line="276" w:lineRule="auto"/>
        <w:ind w:firstLine="709"/>
        <w:jc w:val="both"/>
        <w:textAlignment w:val="auto"/>
        <w:rPr>
          <w:rFonts w:ascii="Garamond" w:eastAsia="Arial Unicode MS" w:hAnsi="Garamond" w:cs="Times New Roman"/>
          <w:kern w:val="0"/>
          <w:lang w:eastAsia="pt-BR" w:bidi="ar-SA"/>
        </w:rPr>
      </w:pPr>
      <w:r>
        <w:rPr>
          <w:rFonts w:ascii="Garamond" w:eastAsia="Arial Unicode MS" w:hAnsi="Garamond" w:cs="Times New Roman"/>
          <w:kern w:val="0"/>
          <w:lang w:eastAsia="pt-BR" w:bidi="ar-SA"/>
        </w:rPr>
        <w:t xml:space="preserve">Além disso, a ficha de inventário do imóvel foi elaborada no ano de 1999, onde as características originais da fachada permaneciam </w:t>
      </w:r>
      <w:r w:rsidR="00183713">
        <w:rPr>
          <w:rFonts w:ascii="Garamond" w:eastAsia="Arial Unicode MS" w:hAnsi="Garamond" w:cs="Times New Roman"/>
          <w:kern w:val="0"/>
          <w:lang w:eastAsia="pt-BR" w:bidi="ar-SA"/>
        </w:rPr>
        <w:t>í</w:t>
      </w:r>
      <w:r>
        <w:rPr>
          <w:rFonts w:ascii="Garamond" w:eastAsia="Arial Unicode MS" w:hAnsi="Garamond" w:cs="Times New Roman"/>
          <w:kern w:val="0"/>
          <w:lang w:eastAsia="pt-BR" w:bidi="ar-SA"/>
        </w:rPr>
        <w:t>ntegras. Conforme se verifica na ficha técnica existente na ficha de inventário, o documento foi revisto nos anos de 2004, 2008 e 2010, quando já se apresentada “descaracterizado”. Até onde se apurou, não houve o ped</w:t>
      </w:r>
      <w:r>
        <w:rPr>
          <w:rFonts w:ascii="Garamond" w:eastAsia="Arial Unicode MS" w:hAnsi="Garamond" w:cs="Times New Roman"/>
          <w:kern w:val="0"/>
          <w:lang w:eastAsia="pt-BR" w:bidi="ar-SA"/>
        </w:rPr>
        <w:t>i</w:t>
      </w:r>
      <w:r>
        <w:rPr>
          <w:rFonts w:ascii="Garamond" w:eastAsia="Arial Unicode MS" w:hAnsi="Garamond" w:cs="Times New Roman"/>
          <w:kern w:val="0"/>
          <w:lang w:eastAsia="pt-BR" w:bidi="ar-SA"/>
        </w:rPr>
        <w:t xml:space="preserve">do de cancelamento do inventário </w:t>
      </w:r>
      <w:r w:rsidR="00183713">
        <w:rPr>
          <w:rFonts w:ascii="Garamond" w:eastAsia="Arial Unicode MS" w:hAnsi="Garamond" w:cs="Times New Roman"/>
          <w:kern w:val="0"/>
          <w:lang w:eastAsia="pt-BR" w:bidi="ar-SA"/>
        </w:rPr>
        <w:t xml:space="preserve">naquelas datas </w:t>
      </w:r>
      <w:r>
        <w:rPr>
          <w:rFonts w:ascii="Garamond" w:eastAsia="Arial Unicode MS" w:hAnsi="Garamond" w:cs="Times New Roman"/>
          <w:kern w:val="0"/>
          <w:lang w:eastAsia="pt-BR" w:bidi="ar-SA"/>
        </w:rPr>
        <w:t>e também não houve notificação Hospital Nossa Senho</w:t>
      </w:r>
      <w:r w:rsidR="00183713">
        <w:rPr>
          <w:rFonts w:ascii="Garamond" w:eastAsia="Arial Unicode MS" w:hAnsi="Garamond" w:cs="Times New Roman"/>
          <w:kern w:val="0"/>
          <w:lang w:eastAsia="pt-BR" w:bidi="ar-SA"/>
        </w:rPr>
        <w:t>ra de Fátima para</w:t>
      </w:r>
      <w:r>
        <w:rPr>
          <w:rFonts w:ascii="Garamond" w:eastAsia="Arial Unicode MS" w:hAnsi="Garamond" w:cs="Times New Roman"/>
          <w:kern w:val="0"/>
          <w:lang w:eastAsia="pt-BR" w:bidi="ar-SA"/>
        </w:rPr>
        <w:t xml:space="preserve"> preservar as características do bem cultural inventariado, o que demonstra o descaso do Poder Público Municipal com o seu acervo cultural.</w:t>
      </w:r>
    </w:p>
    <w:p w:rsidR="00460092" w:rsidRDefault="00460092" w:rsidP="00277EF2">
      <w:pPr>
        <w:widowControl/>
        <w:suppressAutoHyphens w:val="0"/>
        <w:autoSpaceDN/>
        <w:spacing w:line="276" w:lineRule="auto"/>
        <w:ind w:firstLine="709"/>
        <w:jc w:val="both"/>
        <w:textAlignment w:val="auto"/>
        <w:rPr>
          <w:rFonts w:ascii="Garamond" w:eastAsia="Arial Unicode MS" w:hAnsi="Garamond" w:cs="Times New Roman"/>
          <w:kern w:val="0"/>
          <w:lang w:eastAsia="pt-BR" w:bidi="ar-SA"/>
        </w:rPr>
      </w:pPr>
    </w:p>
    <w:p w:rsidR="00193F80" w:rsidRPr="00B771C4" w:rsidRDefault="00193F80" w:rsidP="00193F80">
      <w:pPr>
        <w:pStyle w:val="Standard"/>
        <w:numPr>
          <w:ilvl w:val="0"/>
          <w:numId w:val="14"/>
        </w:numPr>
        <w:spacing w:line="276" w:lineRule="auto"/>
        <w:jc w:val="both"/>
        <w:rPr>
          <w:rFonts w:ascii="Garamond" w:hAnsi="Garamond"/>
          <w:b/>
        </w:rPr>
      </w:pPr>
      <w:r w:rsidRPr="00B771C4">
        <w:rPr>
          <w:rFonts w:ascii="Garamond" w:hAnsi="Garamond"/>
          <w:b/>
          <w:kern w:val="0"/>
          <w:lang w:eastAsia="pt-BR"/>
        </w:rPr>
        <w:t>As condicionantes / medidas compensatórias previstas no PARECER 10 são adequadas e suficientes?</w:t>
      </w:r>
    </w:p>
    <w:p w:rsidR="00B771C4" w:rsidRDefault="00B771C4" w:rsidP="00B771C4">
      <w:pPr>
        <w:pStyle w:val="Standard"/>
        <w:spacing w:line="276" w:lineRule="auto"/>
        <w:jc w:val="both"/>
        <w:rPr>
          <w:rFonts w:ascii="Garamond" w:hAnsi="Garamond"/>
          <w:kern w:val="0"/>
          <w:lang w:eastAsia="pt-BR"/>
        </w:rPr>
      </w:pPr>
    </w:p>
    <w:p w:rsidR="00B771C4" w:rsidRPr="00B771C4" w:rsidRDefault="00B771C4" w:rsidP="00B771C4">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sidRPr="00B771C4">
        <w:rPr>
          <w:rFonts w:ascii="Garamond" w:eastAsia="Times New Roman" w:hAnsi="Garamond" w:cs="Times New Roman"/>
          <w:kern w:val="0"/>
          <w:lang w:eastAsia="pt-BR" w:bidi="ar-SA"/>
        </w:rPr>
        <w:t xml:space="preserve">Este Setor Técnico, após análise da documentação integrante do Inquérito Civil e da documentação encaminhada pelo município ao </w:t>
      </w:r>
      <w:proofErr w:type="spellStart"/>
      <w:r w:rsidRPr="00B771C4">
        <w:rPr>
          <w:rFonts w:ascii="Garamond" w:eastAsia="Times New Roman" w:hAnsi="Garamond" w:cs="Times New Roman"/>
          <w:kern w:val="0"/>
          <w:lang w:eastAsia="pt-BR" w:bidi="ar-SA"/>
        </w:rPr>
        <w:t>Iepha</w:t>
      </w:r>
      <w:proofErr w:type="spellEnd"/>
      <w:r w:rsidRPr="00B771C4">
        <w:rPr>
          <w:rFonts w:ascii="Garamond" w:eastAsia="Times New Roman" w:hAnsi="Garamond" w:cs="Times New Roman"/>
          <w:kern w:val="0"/>
          <w:lang w:eastAsia="pt-BR" w:bidi="ar-SA"/>
        </w:rPr>
        <w:t xml:space="preserve"> para fins de pontuação do ICMS Cultural, entende que o imóvel possui valor cultural e deve ter </w:t>
      </w:r>
      <w:r w:rsidR="00183713">
        <w:rPr>
          <w:rFonts w:ascii="Garamond" w:eastAsia="Times New Roman" w:hAnsi="Garamond" w:cs="Times New Roman"/>
          <w:kern w:val="0"/>
          <w:lang w:eastAsia="pt-BR" w:bidi="ar-SA"/>
        </w:rPr>
        <w:t>o volume que conté</w:t>
      </w:r>
      <w:r w:rsidR="00030A40">
        <w:rPr>
          <w:rFonts w:ascii="Garamond" w:eastAsia="Times New Roman" w:hAnsi="Garamond" w:cs="Times New Roman"/>
          <w:kern w:val="0"/>
          <w:lang w:eastAsia="pt-BR" w:bidi="ar-SA"/>
        </w:rPr>
        <w:t xml:space="preserve">m </w:t>
      </w:r>
      <w:r w:rsidRPr="00B771C4">
        <w:rPr>
          <w:rFonts w:ascii="Garamond" w:eastAsia="Times New Roman" w:hAnsi="Garamond" w:cs="Times New Roman"/>
          <w:kern w:val="0"/>
          <w:lang w:eastAsia="pt-BR" w:bidi="ar-SA"/>
        </w:rPr>
        <w:t>sua fachada principal preser</w:t>
      </w:r>
      <w:r w:rsidR="00030A40">
        <w:rPr>
          <w:rFonts w:ascii="Garamond" w:eastAsia="Times New Roman" w:hAnsi="Garamond" w:cs="Times New Roman"/>
          <w:kern w:val="0"/>
          <w:lang w:eastAsia="pt-BR" w:bidi="ar-SA"/>
        </w:rPr>
        <w:t>vado</w:t>
      </w:r>
      <w:r w:rsidRPr="00B771C4">
        <w:rPr>
          <w:rFonts w:ascii="Garamond" w:eastAsia="Times New Roman" w:hAnsi="Garamond" w:cs="Times New Roman"/>
          <w:kern w:val="0"/>
          <w:lang w:eastAsia="pt-BR" w:bidi="ar-SA"/>
        </w:rPr>
        <w:t xml:space="preserve">, liberando os ambientes interiores e o terreno dos fundos para novas inserções e adequações. Ratificamos as considerações do arquiteto Alex </w:t>
      </w:r>
      <w:r w:rsidR="00183713">
        <w:rPr>
          <w:rFonts w:ascii="Garamond" w:eastAsia="Times New Roman" w:hAnsi="Garamond" w:cs="Times New Roman"/>
          <w:kern w:val="0"/>
          <w:lang w:eastAsia="pt-BR" w:bidi="ar-SA"/>
        </w:rPr>
        <w:t>d</w:t>
      </w:r>
      <w:r w:rsidRPr="00B771C4">
        <w:rPr>
          <w:rFonts w:ascii="Garamond" w:eastAsia="Times New Roman" w:hAnsi="Garamond" w:cs="Times New Roman"/>
          <w:kern w:val="0"/>
          <w:lang w:eastAsia="pt-BR" w:bidi="ar-SA"/>
        </w:rPr>
        <w:t>e Castro Borges que “as reminiscências são de grande valor e passíveis de integração ao desenvolv</w:t>
      </w:r>
      <w:r w:rsidRPr="00B771C4">
        <w:rPr>
          <w:rFonts w:ascii="Garamond" w:eastAsia="Times New Roman" w:hAnsi="Garamond" w:cs="Times New Roman"/>
          <w:kern w:val="0"/>
          <w:lang w:eastAsia="pt-BR" w:bidi="ar-SA"/>
        </w:rPr>
        <w:t>i</w:t>
      </w:r>
      <w:r w:rsidRPr="00B771C4">
        <w:rPr>
          <w:rFonts w:ascii="Garamond" w:eastAsia="Times New Roman" w:hAnsi="Garamond" w:cs="Times New Roman"/>
          <w:kern w:val="0"/>
          <w:lang w:eastAsia="pt-BR" w:bidi="ar-SA"/>
        </w:rPr>
        <w:t xml:space="preserve">mento temporal do edifício” e que “a forma remanescente da fachada é legível e passível de integração ao contemporâneo, capaz de produzir novos significados”. </w:t>
      </w:r>
    </w:p>
    <w:p w:rsidR="00B771C4" w:rsidRPr="00B771C4" w:rsidRDefault="00B771C4" w:rsidP="00B771C4">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B771C4" w:rsidRPr="00B771C4" w:rsidRDefault="00B771C4" w:rsidP="00B771C4">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r w:rsidRPr="00B771C4">
        <w:rPr>
          <w:rFonts w:ascii="Garamond" w:eastAsia="Times New Roman" w:hAnsi="Garamond" w:cs="Times New Roman"/>
          <w:kern w:val="0"/>
          <w:lang w:eastAsia="pt-BR" w:bidi="ar-SA"/>
        </w:rPr>
        <w:t xml:space="preserve">Entretanto, tendo em vista que o município conta com uma Diretoria de </w:t>
      </w:r>
      <w:r>
        <w:rPr>
          <w:rFonts w:ascii="Garamond" w:eastAsia="Times New Roman" w:hAnsi="Garamond" w:cs="Times New Roman"/>
          <w:kern w:val="0"/>
          <w:lang w:eastAsia="pt-BR" w:bidi="ar-SA"/>
        </w:rPr>
        <w:t>Memó</w:t>
      </w:r>
      <w:r w:rsidRPr="00B771C4">
        <w:rPr>
          <w:rFonts w:ascii="Garamond" w:eastAsia="Times New Roman" w:hAnsi="Garamond" w:cs="Times New Roman"/>
          <w:kern w:val="0"/>
          <w:lang w:eastAsia="pt-BR" w:bidi="ar-SA"/>
        </w:rPr>
        <w:t>ria e Patrimônio Cultural e Conselho de Patrimônio Cultural ativo, com especialistas, a decisão sobre a preservação ou não da fachada do imóvel</w:t>
      </w:r>
      <w:proofErr w:type="gramStart"/>
      <w:r w:rsidRPr="00B771C4">
        <w:rPr>
          <w:rFonts w:ascii="Garamond" w:eastAsia="Times New Roman" w:hAnsi="Garamond" w:cs="Times New Roman"/>
          <w:kern w:val="0"/>
          <w:lang w:eastAsia="pt-BR" w:bidi="ar-SA"/>
        </w:rPr>
        <w:t xml:space="preserve">  </w:t>
      </w:r>
      <w:proofErr w:type="gramEnd"/>
      <w:r w:rsidRPr="00B771C4">
        <w:rPr>
          <w:rFonts w:ascii="Garamond" w:eastAsia="Times New Roman" w:hAnsi="Garamond" w:cs="Times New Roman"/>
          <w:kern w:val="0"/>
          <w:lang w:eastAsia="pt-BR" w:bidi="ar-SA"/>
        </w:rPr>
        <w:t xml:space="preserve">cabe à estes órgãos. A sua atuação deve estar solidamente embasada nos estudos técnicos elaborados por especialistas, objetivando prevenir danos irreversíveis ao patrimônio cultural. No nosso entendimento após a análise da documentação, este conselho se posicionou </w:t>
      </w:r>
      <w:r w:rsidR="00460092" w:rsidRPr="00B771C4">
        <w:rPr>
          <w:rFonts w:ascii="Garamond" w:eastAsia="Times New Roman" w:hAnsi="Garamond" w:cs="Times New Roman"/>
          <w:kern w:val="0"/>
          <w:lang w:eastAsia="pt-BR" w:bidi="ar-SA"/>
        </w:rPr>
        <w:t>favorável</w:t>
      </w:r>
      <w:r w:rsidRPr="00B771C4">
        <w:rPr>
          <w:rFonts w:ascii="Garamond" w:eastAsia="Times New Roman" w:hAnsi="Garamond" w:cs="Times New Roman"/>
          <w:kern w:val="0"/>
          <w:lang w:eastAsia="pt-BR" w:bidi="ar-SA"/>
        </w:rPr>
        <w:t xml:space="preserve"> à nova construção defronte à f</w:t>
      </w:r>
      <w:r w:rsidRPr="00B771C4">
        <w:rPr>
          <w:rFonts w:ascii="Garamond" w:eastAsia="Times New Roman" w:hAnsi="Garamond" w:cs="Times New Roman"/>
          <w:kern w:val="0"/>
          <w:lang w:eastAsia="pt-BR" w:bidi="ar-SA"/>
        </w:rPr>
        <w:t>a</w:t>
      </w:r>
      <w:r w:rsidRPr="00B771C4">
        <w:rPr>
          <w:rFonts w:ascii="Garamond" w:eastAsia="Times New Roman" w:hAnsi="Garamond" w:cs="Times New Roman"/>
          <w:kern w:val="0"/>
          <w:lang w:eastAsia="pt-BR" w:bidi="ar-SA"/>
        </w:rPr>
        <w:t>chada original, baseado em laudos técnicos de especialistas.</w:t>
      </w:r>
    </w:p>
    <w:p w:rsidR="00B771C4" w:rsidRDefault="00B771C4" w:rsidP="00B771C4">
      <w:pPr>
        <w:widowControl/>
        <w:suppressAutoHyphens w:val="0"/>
        <w:autoSpaceDN/>
        <w:spacing w:line="276" w:lineRule="auto"/>
        <w:ind w:firstLine="709"/>
        <w:jc w:val="both"/>
        <w:textAlignment w:val="auto"/>
        <w:rPr>
          <w:rFonts w:ascii="Garamond" w:eastAsia="Times New Roman" w:hAnsi="Garamond" w:cs="Times New Roman"/>
          <w:kern w:val="0"/>
          <w:u w:val="single"/>
          <w:lang w:eastAsia="pt-BR" w:bidi="ar-SA"/>
        </w:rPr>
      </w:pPr>
    </w:p>
    <w:p w:rsidR="00B771C4" w:rsidRPr="00183713" w:rsidRDefault="00B771C4" w:rsidP="00030A40">
      <w:pPr>
        <w:pStyle w:val="Standard"/>
        <w:spacing w:line="276" w:lineRule="auto"/>
        <w:ind w:firstLine="708"/>
        <w:jc w:val="both"/>
        <w:rPr>
          <w:rFonts w:ascii="Garamond" w:eastAsia="Arial Unicode MS" w:hAnsi="Garamond"/>
          <w:kern w:val="0"/>
          <w:u w:val="single"/>
          <w:lang w:eastAsia="pt-BR"/>
        </w:rPr>
      </w:pPr>
      <w:r w:rsidRPr="00183713">
        <w:rPr>
          <w:rFonts w:ascii="Garamond" w:hAnsi="Garamond"/>
          <w:kern w:val="0"/>
          <w:u w:val="single"/>
          <w:lang w:eastAsia="pt-BR"/>
        </w:rPr>
        <w:t>Este Setor T</w:t>
      </w:r>
      <w:r w:rsidR="00030A40" w:rsidRPr="00183713">
        <w:rPr>
          <w:rFonts w:ascii="Garamond" w:hAnsi="Garamond"/>
          <w:kern w:val="0"/>
          <w:u w:val="single"/>
          <w:lang w:eastAsia="pt-BR"/>
        </w:rPr>
        <w:t>écni</w:t>
      </w:r>
      <w:r w:rsidR="00460092">
        <w:rPr>
          <w:rFonts w:ascii="Garamond" w:hAnsi="Garamond"/>
          <w:kern w:val="0"/>
          <w:u w:val="single"/>
          <w:lang w:eastAsia="pt-BR"/>
        </w:rPr>
        <w:t>co entende</w:t>
      </w:r>
      <w:r w:rsidRPr="00183713">
        <w:rPr>
          <w:rFonts w:ascii="Garamond" w:hAnsi="Garamond"/>
          <w:kern w:val="0"/>
          <w:u w:val="single"/>
          <w:lang w:eastAsia="pt-BR"/>
        </w:rPr>
        <w:t xml:space="preserve"> que é possível conciliar a preservação do Patrimônio Cultural com a modernização e ampliação da estrutura do hospital. Entende a que o volume que contém a fachada principal deverá ser preservado, ter suas características originais resgatadas e ser visível </w:t>
      </w:r>
      <w:r w:rsidR="00030A40" w:rsidRPr="00183713">
        <w:rPr>
          <w:rFonts w:ascii="Garamond" w:hAnsi="Garamond"/>
          <w:kern w:val="0"/>
          <w:u w:val="single"/>
          <w:lang w:eastAsia="pt-BR"/>
        </w:rPr>
        <w:t>a partir do logradouro pú</w:t>
      </w:r>
      <w:r w:rsidRPr="00183713">
        <w:rPr>
          <w:rFonts w:ascii="Garamond" w:hAnsi="Garamond"/>
          <w:kern w:val="0"/>
          <w:u w:val="single"/>
          <w:lang w:eastAsia="pt-BR"/>
        </w:rPr>
        <w:t xml:space="preserve">blico, sendo o interior da edificação e o terreno dos fundos </w:t>
      </w:r>
      <w:r w:rsidR="00030A40" w:rsidRPr="00183713">
        <w:rPr>
          <w:rFonts w:ascii="Garamond" w:hAnsi="Garamond"/>
          <w:kern w:val="0"/>
          <w:u w:val="single"/>
          <w:lang w:eastAsia="pt-BR"/>
        </w:rPr>
        <w:t xml:space="preserve">livre para as </w:t>
      </w:r>
      <w:r w:rsidR="00460092" w:rsidRPr="00183713">
        <w:rPr>
          <w:rFonts w:ascii="Garamond" w:hAnsi="Garamond"/>
          <w:kern w:val="0"/>
          <w:u w:val="single"/>
          <w:lang w:eastAsia="pt-BR"/>
        </w:rPr>
        <w:t>intervenções</w:t>
      </w:r>
      <w:r w:rsidR="00030A40" w:rsidRPr="00183713">
        <w:rPr>
          <w:rFonts w:ascii="Garamond" w:hAnsi="Garamond"/>
          <w:kern w:val="0"/>
          <w:u w:val="single"/>
          <w:lang w:eastAsia="pt-BR"/>
        </w:rPr>
        <w:t xml:space="preserve"> e acréscimos necessários. Caso nosso entendimento seja acompanhado pelo </w:t>
      </w:r>
      <w:r w:rsidR="00030A40" w:rsidRPr="00183713">
        <w:rPr>
          <w:rFonts w:ascii="Garamond" w:eastAsia="Arial Unicode MS" w:hAnsi="Garamond"/>
          <w:kern w:val="0"/>
          <w:u w:val="single"/>
          <w:lang w:eastAsia="pt-BR"/>
        </w:rPr>
        <w:t>CONDEPAHC, não são necessárias medidas compensatórias, além das recomendações 2 a 13 já propostas pelo arquiteto Alex em seu parecer preliminar em relação ao projeto (</w:t>
      </w:r>
      <w:proofErr w:type="spellStart"/>
      <w:r w:rsidR="00030A40" w:rsidRPr="00183713">
        <w:rPr>
          <w:rFonts w:ascii="Garamond" w:eastAsia="Arial Unicode MS" w:hAnsi="Garamond"/>
          <w:kern w:val="0"/>
          <w:u w:val="single"/>
          <w:lang w:eastAsia="pt-BR"/>
        </w:rPr>
        <w:t>fls</w:t>
      </w:r>
      <w:proofErr w:type="spellEnd"/>
      <w:r w:rsidR="00030A40" w:rsidRPr="00183713">
        <w:rPr>
          <w:rFonts w:ascii="Garamond" w:eastAsia="Arial Unicode MS" w:hAnsi="Garamond"/>
          <w:kern w:val="0"/>
          <w:u w:val="single"/>
          <w:lang w:eastAsia="pt-BR"/>
        </w:rPr>
        <w:t xml:space="preserve"> 150 e 151 dos autos).</w:t>
      </w:r>
    </w:p>
    <w:p w:rsidR="00030A40" w:rsidRDefault="00030A40" w:rsidP="00030A40">
      <w:pPr>
        <w:pStyle w:val="Standard"/>
        <w:spacing w:line="276" w:lineRule="auto"/>
        <w:ind w:firstLine="708"/>
        <w:jc w:val="both"/>
        <w:rPr>
          <w:rFonts w:ascii="Garamond" w:eastAsia="Arial Unicode MS" w:hAnsi="Garamond"/>
          <w:kern w:val="0"/>
          <w:lang w:eastAsia="pt-BR"/>
        </w:rPr>
      </w:pPr>
    </w:p>
    <w:p w:rsidR="00A5455B" w:rsidRPr="00183713" w:rsidRDefault="00030A40" w:rsidP="00030A40">
      <w:pPr>
        <w:widowControl/>
        <w:suppressAutoHyphens w:val="0"/>
        <w:autoSpaceDN/>
        <w:spacing w:line="276" w:lineRule="auto"/>
        <w:ind w:firstLine="708"/>
        <w:jc w:val="both"/>
        <w:textAlignment w:val="auto"/>
        <w:rPr>
          <w:rFonts w:ascii="Garamond" w:eastAsia="Times New Roman" w:hAnsi="Garamond" w:cs="Times New Roman"/>
          <w:kern w:val="0"/>
          <w:u w:val="single"/>
          <w:lang w:eastAsia="pt-BR" w:bidi="ar-SA"/>
        </w:rPr>
      </w:pPr>
      <w:r w:rsidRPr="00183713">
        <w:rPr>
          <w:rFonts w:ascii="Garamond" w:eastAsia="Arial Unicode MS" w:hAnsi="Garamond"/>
          <w:kern w:val="0"/>
          <w:u w:val="single"/>
          <w:lang w:eastAsia="pt-BR"/>
        </w:rPr>
        <w:t xml:space="preserve">Caso seja mantida a aprovação do projeto da forma que se encontra, ou seja, com a inserção de </w:t>
      </w:r>
      <w:r w:rsidRPr="00183713">
        <w:rPr>
          <w:rFonts w:ascii="Garamond" w:eastAsia="Times New Roman" w:hAnsi="Garamond" w:cs="Times New Roman"/>
          <w:kern w:val="0"/>
          <w:u w:val="single"/>
          <w:lang w:eastAsia="pt-BR" w:bidi="ar-SA"/>
        </w:rPr>
        <w:t xml:space="preserve">um novo volume de construção em parte do afastamento frontal existente, defronte </w:t>
      </w:r>
      <w:r w:rsidR="00A5455B" w:rsidRPr="00183713">
        <w:rPr>
          <w:rFonts w:ascii="Garamond" w:eastAsia="Times New Roman" w:hAnsi="Garamond" w:cs="Times New Roman"/>
          <w:kern w:val="0"/>
          <w:u w:val="single"/>
          <w:lang w:eastAsia="pt-BR" w:bidi="ar-SA"/>
        </w:rPr>
        <w:t>à</w:t>
      </w:r>
      <w:r w:rsidRPr="00183713">
        <w:rPr>
          <w:rFonts w:ascii="Garamond" w:eastAsia="Times New Roman" w:hAnsi="Garamond" w:cs="Times New Roman"/>
          <w:kern w:val="0"/>
          <w:u w:val="single"/>
          <w:lang w:eastAsia="pt-BR" w:bidi="ar-SA"/>
        </w:rPr>
        <w:t xml:space="preserve"> antiga fachada, este Setor Técnico entende que</w:t>
      </w:r>
      <w:r w:rsidR="00A5455B" w:rsidRPr="00183713">
        <w:rPr>
          <w:rFonts w:ascii="Garamond" w:eastAsia="Times New Roman" w:hAnsi="Garamond" w:cs="Times New Roman"/>
          <w:kern w:val="0"/>
          <w:u w:val="single"/>
          <w:lang w:eastAsia="pt-BR" w:bidi="ar-SA"/>
        </w:rPr>
        <w:t xml:space="preserve"> além das adequações no projeto propostas no Parecer Preliminar elaborado pelo arquiteto Alex e das medidas compensat</w:t>
      </w:r>
      <w:r w:rsidR="00A5455B" w:rsidRPr="00183713">
        <w:rPr>
          <w:rFonts w:ascii="Garamond" w:eastAsia="Times New Roman" w:hAnsi="Garamond" w:cs="Times New Roman"/>
          <w:kern w:val="0"/>
          <w:u w:val="single"/>
          <w:lang w:eastAsia="pt-BR" w:bidi="ar-SA"/>
        </w:rPr>
        <w:t>ó</w:t>
      </w:r>
      <w:r w:rsidR="00A5455B" w:rsidRPr="00183713">
        <w:rPr>
          <w:rFonts w:ascii="Garamond" w:eastAsia="Times New Roman" w:hAnsi="Garamond" w:cs="Times New Roman"/>
          <w:kern w:val="0"/>
          <w:u w:val="single"/>
          <w:lang w:eastAsia="pt-BR" w:bidi="ar-SA"/>
        </w:rPr>
        <w:t>rias já elencadas no Parecer 10 que se inclua:</w:t>
      </w:r>
    </w:p>
    <w:p w:rsidR="00A5455B" w:rsidRDefault="00A5455B" w:rsidP="00030A40">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A5455B" w:rsidRDefault="00A5455B" w:rsidP="00A5455B">
      <w:pPr>
        <w:widowControl/>
        <w:suppressAutoHyphens w:val="0"/>
        <w:autoSpaceDN/>
        <w:spacing w:line="276" w:lineRule="auto"/>
        <w:ind w:firstLine="709"/>
        <w:jc w:val="both"/>
        <w:textAlignment w:val="auto"/>
        <w:rPr>
          <w:rFonts w:ascii="Garamond" w:hAnsi="Garamond"/>
          <w:kern w:val="0"/>
          <w:lang w:eastAsia="pt-BR"/>
        </w:rPr>
      </w:pPr>
      <w:r>
        <w:rPr>
          <w:rFonts w:ascii="Garamond" w:eastAsia="Times New Roman" w:hAnsi="Garamond" w:cs="Times New Roman"/>
          <w:kern w:val="0"/>
          <w:lang w:eastAsia="pt-BR" w:bidi="ar-SA"/>
        </w:rPr>
        <w:t xml:space="preserve">1 - Substituição do item 3 onde se lê “produzir um relatório fotográfico do imóvel”, pela elaboração de Registro Documental do bem cultural, </w:t>
      </w:r>
      <w:r w:rsidRPr="00B077D5">
        <w:rPr>
          <w:rFonts w:ascii="Garamond" w:eastAsia="Times New Roman" w:hAnsi="Garamond" w:cs="Times New Roman"/>
          <w:kern w:val="0"/>
          <w:lang w:eastAsia="pt-BR" w:bidi="ar-SA"/>
        </w:rPr>
        <w:t xml:space="preserve">que deverá ser elaborado por profissionais habilitados, seguindo </w:t>
      </w:r>
      <w:r>
        <w:rPr>
          <w:rFonts w:ascii="Garamond" w:eastAsia="Times New Roman" w:hAnsi="Garamond" w:cs="Times New Roman"/>
          <w:kern w:val="0"/>
          <w:lang w:eastAsia="pt-BR" w:bidi="ar-SA"/>
        </w:rPr>
        <w:t xml:space="preserve">o padrão que segue </w:t>
      </w:r>
      <w:r w:rsidR="00183713">
        <w:rPr>
          <w:rFonts w:ascii="Garamond" w:eastAsia="Times New Roman" w:hAnsi="Garamond" w:cs="Times New Roman"/>
          <w:kern w:val="0"/>
          <w:lang w:eastAsia="pt-BR" w:bidi="ar-SA"/>
        </w:rPr>
        <w:t>no A</w:t>
      </w:r>
      <w:r>
        <w:rPr>
          <w:rFonts w:ascii="Garamond" w:eastAsia="Times New Roman" w:hAnsi="Garamond" w:cs="Times New Roman"/>
          <w:kern w:val="0"/>
          <w:lang w:eastAsia="pt-BR" w:bidi="ar-SA"/>
        </w:rPr>
        <w:t xml:space="preserve">nexo </w:t>
      </w:r>
      <w:r w:rsidR="00183713">
        <w:rPr>
          <w:rFonts w:ascii="Garamond" w:eastAsia="Times New Roman" w:hAnsi="Garamond" w:cs="Times New Roman"/>
          <w:kern w:val="0"/>
          <w:lang w:eastAsia="pt-BR" w:bidi="ar-SA"/>
        </w:rPr>
        <w:t>3 deste</w:t>
      </w:r>
      <w:r>
        <w:rPr>
          <w:rFonts w:ascii="Garamond" w:eastAsia="Times New Roman" w:hAnsi="Garamond" w:cs="Times New Roman"/>
          <w:kern w:val="0"/>
          <w:lang w:eastAsia="pt-BR" w:bidi="ar-SA"/>
        </w:rPr>
        <w:t xml:space="preserve"> documento</w:t>
      </w:r>
      <w:r w:rsidRPr="00B077D5">
        <w:rPr>
          <w:rFonts w:ascii="Garamond" w:eastAsia="Times New Roman" w:hAnsi="Garamond" w:cs="Times New Roman"/>
          <w:kern w:val="0"/>
          <w:lang w:eastAsia="pt-BR" w:bidi="ar-SA"/>
        </w:rPr>
        <w:t xml:space="preserve">. </w:t>
      </w:r>
      <w:r>
        <w:rPr>
          <w:rFonts w:ascii="Garamond" w:eastAsia="Times New Roman" w:hAnsi="Garamond" w:cs="Times New Roman"/>
          <w:kern w:val="0"/>
          <w:lang w:eastAsia="pt-BR" w:bidi="ar-SA"/>
        </w:rPr>
        <w:t>Tr</w:t>
      </w:r>
      <w:r>
        <w:rPr>
          <w:rFonts w:ascii="Garamond" w:eastAsia="Times New Roman" w:hAnsi="Garamond" w:cs="Times New Roman"/>
          <w:kern w:val="0"/>
          <w:lang w:eastAsia="pt-BR" w:bidi="ar-SA"/>
        </w:rPr>
        <w:t>a</w:t>
      </w:r>
      <w:r>
        <w:rPr>
          <w:rFonts w:ascii="Garamond" w:eastAsia="Times New Roman" w:hAnsi="Garamond" w:cs="Times New Roman"/>
          <w:kern w:val="0"/>
          <w:lang w:eastAsia="pt-BR" w:bidi="ar-SA"/>
        </w:rPr>
        <w:t>ta-se de um estudo minucioso sobre o bem cultural, contendo informações históricas, im</w:t>
      </w:r>
      <w:r>
        <w:rPr>
          <w:rFonts w:ascii="Garamond" w:eastAsia="Times New Roman" w:hAnsi="Garamond" w:cs="Times New Roman"/>
          <w:kern w:val="0"/>
          <w:lang w:eastAsia="pt-BR" w:bidi="ar-SA"/>
        </w:rPr>
        <w:t>a</w:t>
      </w:r>
      <w:r>
        <w:rPr>
          <w:rFonts w:ascii="Garamond" w:eastAsia="Times New Roman" w:hAnsi="Garamond" w:cs="Times New Roman"/>
          <w:kern w:val="0"/>
          <w:lang w:eastAsia="pt-BR" w:bidi="ar-SA"/>
        </w:rPr>
        <w:t>gens antigas e atuais, levantamentos métricos, depoimentos de antigos e atuais propriet</w:t>
      </w:r>
      <w:r>
        <w:rPr>
          <w:rFonts w:ascii="Garamond" w:eastAsia="Times New Roman" w:hAnsi="Garamond" w:cs="Times New Roman"/>
          <w:kern w:val="0"/>
          <w:lang w:eastAsia="pt-BR" w:bidi="ar-SA"/>
        </w:rPr>
        <w:t>á</w:t>
      </w:r>
      <w:r>
        <w:rPr>
          <w:rFonts w:ascii="Garamond" w:eastAsia="Times New Roman" w:hAnsi="Garamond" w:cs="Times New Roman"/>
          <w:kern w:val="0"/>
          <w:lang w:eastAsia="pt-BR" w:bidi="ar-SA"/>
        </w:rPr>
        <w:t xml:space="preserve">rios, etc. </w:t>
      </w:r>
      <w:r w:rsidRPr="00B077D5">
        <w:rPr>
          <w:rFonts w:ascii="Garamond" w:eastAsia="Times New Roman" w:hAnsi="Garamond" w:cs="Times New Roman"/>
          <w:kern w:val="0"/>
          <w:lang w:eastAsia="pt-BR" w:bidi="ar-SA"/>
        </w:rPr>
        <w:t xml:space="preserve">Este estudo deverá ser encaminhado ao Conselho de Patrimônio Cultural para </w:t>
      </w:r>
      <w:r w:rsidRPr="00B077D5">
        <w:rPr>
          <w:rFonts w:ascii="Garamond" w:eastAsia="Times New Roman" w:hAnsi="Garamond" w:cs="Times New Roman"/>
          <w:kern w:val="0"/>
          <w:lang w:eastAsia="pt-BR" w:bidi="ar-SA"/>
        </w:rPr>
        <w:lastRenderedPageBreak/>
        <w:t xml:space="preserve">análise e aprovação. </w:t>
      </w:r>
      <w:r w:rsidRPr="00B077D5">
        <w:rPr>
          <w:rFonts w:ascii="Garamond" w:hAnsi="Garamond"/>
          <w:kern w:val="0"/>
          <w:lang w:eastAsia="pt-BR"/>
        </w:rPr>
        <w:t>Desta forma, no caso de autorizada a de</w:t>
      </w:r>
      <w:r>
        <w:rPr>
          <w:rFonts w:ascii="Garamond" w:hAnsi="Garamond"/>
          <w:kern w:val="0"/>
          <w:lang w:eastAsia="pt-BR"/>
        </w:rPr>
        <w:t>scaracterização</w:t>
      </w:r>
      <w:r w:rsidRPr="00B077D5">
        <w:rPr>
          <w:rFonts w:ascii="Garamond" w:hAnsi="Garamond"/>
          <w:kern w:val="0"/>
          <w:lang w:eastAsia="pt-BR"/>
        </w:rPr>
        <w:t>, os dados serão preservados de forma secundária e se garante que a informação sobre a memória cultural e a história do município não se perderá. Este estudo deverá ser enviado minimamente para o Arquivo Municipal, para um Centro de Memória Municipal e para as bibliotecas localiz</w:t>
      </w:r>
      <w:r w:rsidRPr="00B077D5">
        <w:rPr>
          <w:rFonts w:ascii="Garamond" w:hAnsi="Garamond"/>
          <w:kern w:val="0"/>
          <w:lang w:eastAsia="pt-BR"/>
        </w:rPr>
        <w:t>a</w:t>
      </w:r>
      <w:r w:rsidRPr="00B077D5">
        <w:rPr>
          <w:rFonts w:ascii="Garamond" w:hAnsi="Garamond"/>
          <w:kern w:val="0"/>
          <w:lang w:eastAsia="pt-BR"/>
        </w:rPr>
        <w:t>das no município para permitir acesso de pesquisadores e interessados, servindo de fonte documental. O estudo deve ser feito dentro do rigor técnico de pesquisas históricas acad</w:t>
      </w:r>
      <w:r w:rsidRPr="00B077D5">
        <w:rPr>
          <w:rFonts w:ascii="Garamond" w:hAnsi="Garamond"/>
          <w:kern w:val="0"/>
          <w:lang w:eastAsia="pt-BR"/>
        </w:rPr>
        <w:t>ê</w:t>
      </w:r>
      <w:r w:rsidRPr="00B077D5">
        <w:rPr>
          <w:rFonts w:ascii="Garamond" w:hAnsi="Garamond"/>
          <w:kern w:val="0"/>
          <w:lang w:eastAsia="pt-BR"/>
        </w:rPr>
        <w:t>micas.</w:t>
      </w:r>
    </w:p>
    <w:p w:rsidR="00247FF9" w:rsidRDefault="00247FF9" w:rsidP="00A5455B">
      <w:pPr>
        <w:widowControl/>
        <w:suppressAutoHyphens w:val="0"/>
        <w:autoSpaceDN/>
        <w:spacing w:line="276" w:lineRule="auto"/>
        <w:ind w:firstLine="709"/>
        <w:jc w:val="both"/>
        <w:textAlignment w:val="auto"/>
        <w:rPr>
          <w:rFonts w:ascii="Garamond" w:hAnsi="Garamond"/>
          <w:kern w:val="0"/>
          <w:lang w:eastAsia="pt-BR"/>
        </w:rPr>
      </w:pPr>
    </w:p>
    <w:p w:rsidR="00A5455B" w:rsidRDefault="00A5455B" w:rsidP="00A5455B">
      <w:pPr>
        <w:widowControl/>
        <w:suppressAutoHyphens w:val="0"/>
        <w:autoSpaceDN/>
        <w:spacing w:line="276" w:lineRule="auto"/>
        <w:ind w:firstLine="709"/>
        <w:jc w:val="both"/>
        <w:textAlignment w:val="auto"/>
        <w:rPr>
          <w:rFonts w:ascii="Garamond" w:hAnsi="Garamond"/>
          <w:kern w:val="0"/>
          <w:lang w:eastAsia="pt-BR"/>
        </w:rPr>
      </w:pPr>
      <w:r>
        <w:rPr>
          <w:rFonts w:ascii="Garamond" w:hAnsi="Garamond"/>
          <w:kern w:val="0"/>
          <w:lang w:eastAsia="pt-BR"/>
        </w:rPr>
        <w:t>2 – Em substituição do item 5, recomenda-se que o hall de acesso principal do ho</w:t>
      </w:r>
      <w:r>
        <w:rPr>
          <w:rFonts w:ascii="Garamond" w:hAnsi="Garamond"/>
          <w:kern w:val="0"/>
          <w:lang w:eastAsia="pt-BR"/>
        </w:rPr>
        <w:t>s</w:t>
      </w:r>
      <w:r>
        <w:rPr>
          <w:rFonts w:ascii="Garamond" w:hAnsi="Garamond"/>
          <w:kern w:val="0"/>
          <w:lang w:eastAsia="pt-BR"/>
        </w:rPr>
        <w:t>pital e outros ambientes</w:t>
      </w:r>
      <w:r w:rsidR="00247FF9">
        <w:rPr>
          <w:rFonts w:ascii="Garamond" w:hAnsi="Garamond"/>
          <w:kern w:val="0"/>
          <w:lang w:eastAsia="pt-BR"/>
        </w:rPr>
        <w:t xml:space="preserve"> de destaque</w:t>
      </w:r>
      <w:r>
        <w:rPr>
          <w:rFonts w:ascii="Garamond" w:hAnsi="Garamond"/>
          <w:kern w:val="0"/>
          <w:lang w:eastAsia="pt-BR"/>
        </w:rPr>
        <w:t xml:space="preserve">, como as salas de espera, por exemplo, contenham </w:t>
      </w:r>
      <w:r w:rsidR="00247FF9">
        <w:rPr>
          <w:rFonts w:ascii="Garamond" w:hAnsi="Garamond"/>
          <w:kern w:val="0"/>
          <w:lang w:eastAsia="pt-BR"/>
        </w:rPr>
        <w:t>informes</w:t>
      </w:r>
      <w:r>
        <w:rPr>
          <w:rFonts w:ascii="Garamond" w:hAnsi="Garamond"/>
          <w:kern w:val="0"/>
          <w:lang w:eastAsia="pt-BR"/>
        </w:rPr>
        <w:t xml:space="preserve"> histó</w:t>
      </w:r>
      <w:r w:rsidR="00247FF9">
        <w:rPr>
          <w:rFonts w:ascii="Garamond" w:hAnsi="Garamond"/>
          <w:kern w:val="0"/>
          <w:lang w:eastAsia="pt-BR"/>
        </w:rPr>
        <w:t>ricos</w:t>
      </w:r>
      <w:r>
        <w:rPr>
          <w:rFonts w:ascii="Garamond" w:hAnsi="Garamond"/>
          <w:kern w:val="0"/>
          <w:lang w:eastAsia="pt-BR"/>
        </w:rPr>
        <w:t xml:space="preserve"> e fotografias do imóvel</w:t>
      </w:r>
      <w:r w:rsidR="00247FF9">
        <w:rPr>
          <w:rFonts w:ascii="Garamond" w:hAnsi="Garamond"/>
          <w:kern w:val="0"/>
          <w:lang w:eastAsia="pt-BR"/>
        </w:rPr>
        <w:t>, afixados diretamente ou instalados nas alven</w:t>
      </w:r>
      <w:r w:rsidR="00247FF9">
        <w:rPr>
          <w:rFonts w:ascii="Garamond" w:hAnsi="Garamond"/>
          <w:kern w:val="0"/>
          <w:lang w:eastAsia="pt-BR"/>
        </w:rPr>
        <w:t>a</w:t>
      </w:r>
      <w:r w:rsidR="00247FF9">
        <w:rPr>
          <w:rFonts w:ascii="Garamond" w:hAnsi="Garamond"/>
          <w:kern w:val="0"/>
          <w:lang w:eastAsia="pt-BR"/>
        </w:rPr>
        <w:t>rias. O conteúdo e o modelo deverão ser definidos previamente pela DIMEP. É desejável que se tenha informações indicativas e interpretativas junto à fachada original que se pr</w:t>
      </w:r>
      <w:r w:rsidR="00247FF9">
        <w:rPr>
          <w:rFonts w:ascii="Garamond" w:hAnsi="Garamond"/>
          <w:kern w:val="0"/>
          <w:lang w:eastAsia="pt-BR"/>
        </w:rPr>
        <w:t>e</w:t>
      </w:r>
      <w:r w:rsidR="00247FF9">
        <w:rPr>
          <w:rFonts w:ascii="Garamond" w:hAnsi="Garamond"/>
          <w:kern w:val="0"/>
          <w:lang w:eastAsia="pt-BR"/>
        </w:rPr>
        <w:t>tende preservar na área “interna” do hospital.</w:t>
      </w:r>
    </w:p>
    <w:p w:rsidR="00247FF9" w:rsidRDefault="00247FF9" w:rsidP="00A5455B">
      <w:pPr>
        <w:widowControl/>
        <w:suppressAutoHyphens w:val="0"/>
        <w:autoSpaceDN/>
        <w:spacing w:line="276" w:lineRule="auto"/>
        <w:ind w:firstLine="709"/>
        <w:jc w:val="both"/>
        <w:textAlignment w:val="auto"/>
        <w:rPr>
          <w:rFonts w:ascii="Garamond" w:hAnsi="Garamond"/>
          <w:kern w:val="0"/>
          <w:lang w:eastAsia="pt-BR"/>
        </w:rPr>
      </w:pPr>
    </w:p>
    <w:p w:rsidR="00247FF9" w:rsidRDefault="00247FF9" w:rsidP="00A5455B">
      <w:pPr>
        <w:widowControl/>
        <w:suppressAutoHyphens w:val="0"/>
        <w:autoSpaceDN/>
        <w:spacing w:line="276" w:lineRule="auto"/>
        <w:ind w:firstLine="709"/>
        <w:jc w:val="both"/>
        <w:textAlignment w:val="auto"/>
        <w:rPr>
          <w:rFonts w:ascii="Garamond" w:hAnsi="Garamond"/>
          <w:kern w:val="0"/>
          <w:lang w:eastAsia="pt-BR"/>
        </w:rPr>
      </w:pPr>
      <w:r>
        <w:rPr>
          <w:rFonts w:ascii="Garamond" w:hAnsi="Garamond"/>
          <w:kern w:val="0"/>
          <w:lang w:eastAsia="pt-BR"/>
        </w:rPr>
        <w:t>3 – Recomenda-se que a maquete física do imóvel original fique exposta no hall de entrada principal</w:t>
      </w:r>
      <w:r w:rsidR="004D509E">
        <w:rPr>
          <w:rFonts w:ascii="Garamond" w:hAnsi="Garamond"/>
          <w:kern w:val="0"/>
          <w:lang w:eastAsia="pt-BR"/>
        </w:rPr>
        <w:t xml:space="preserve"> do Hospital</w:t>
      </w:r>
      <w:r>
        <w:rPr>
          <w:rFonts w:ascii="Garamond" w:hAnsi="Garamond"/>
          <w:kern w:val="0"/>
          <w:lang w:eastAsia="pt-BR"/>
        </w:rPr>
        <w:t>.</w:t>
      </w:r>
    </w:p>
    <w:p w:rsidR="00247FF9" w:rsidRPr="00A5455B" w:rsidRDefault="00247FF9" w:rsidP="00A5455B">
      <w:pPr>
        <w:widowControl/>
        <w:suppressAutoHyphens w:val="0"/>
        <w:autoSpaceDN/>
        <w:spacing w:line="276" w:lineRule="auto"/>
        <w:ind w:firstLine="709"/>
        <w:jc w:val="both"/>
        <w:textAlignment w:val="auto"/>
        <w:rPr>
          <w:rFonts w:ascii="Garamond" w:eastAsia="Times New Roman" w:hAnsi="Garamond" w:cs="Times New Roman"/>
          <w:kern w:val="0"/>
          <w:lang w:eastAsia="pt-BR" w:bidi="ar-SA"/>
        </w:rPr>
      </w:pPr>
    </w:p>
    <w:p w:rsidR="00030A40" w:rsidRDefault="00247FF9" w:rsidP="00030A40">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 xml:space="preserve">4 – Como forma de compensação urbanística pela redução da dimensão do </w:t>
      </w:r>
      <w:r w:rsidR="00030A40">
        <w:rPr>
          <w:rFonts w:ascii="Garamond" w:eastAsia="Times New Roman" w:hAnsi="Garamond" w:cs="Times New Roman"/>
          <w:kern w:val="0"/>
          <w:lang w:eastAsia="pt-BR" w:bidi="ar-SA"/>
        </w:rPr>
        <w:t>antigo recuo</w:t>
      </w:r>
      <w:r>
        <w:rPr>
          <w:rFonts w:ascii="Garamond" w:eastAsia="Times New Roman" w:hAnsi="Garamond" w:cs="Times New Roman"/>
          <w:kern w:val="0"/>
          <w:lang w:eastAsia="pt-BR" w:bidi="ar-SA"/>
        </w:rPr>
        <w:t xml:space="preserve"> </w:t>
      </w:r>
      <w:r w:rsidR="00030A40">
        <w:rPr>
          <w:rFonts w:ascii="Garamond" w:eastAsia="Times New Roman" w:hAnsi="Garamond" w:cs="Times New Roman"/>
          <w:kern w:val="0"/>
          <w:lang w:eastAsia="pt-BR" w:bidi="ar-SA"/>
        </w:rPr>
        <w:t xml:space="preserve">que promovia um “respiro” na via estreita e destacava a antiga edificação, </w:t>
      </w:r>
      <w:r w:rsidR="00442820">
        <w:rPr>
          <w:rFonts w:ascii="Garamond" w:eastAsia="Times New Roman" w:hAnsi="Garamond" w:cs="Times New Roman"/>
          <w:kern w:val="0"/>
          <w:lang w:eastAsia="pt-BR" w:bidi="ar-SA"/>
        </w:rPr>
        <w:t>recome</w:t>
      </w:r>
      <w:r w:rsidR="00442820">
        <w:rPr>
          <w:rFonts w:ascii="Garamond" w:eastAsia="Times New Roman" w:hAnsi="Garamond" w:cs="Times New Roman"/>
          <w:kern w:val="0"/>
          <w:lang w:eastAsia="pt-BR" w:bidi="ar-SA"/>
        </w:rPr>
        <w:t>n</w:t>
      </w:r>
      <w:r w:rsidR="00442820">
        <w:rPr>
          <w:rFonts w:ascii="Garamond" w:eastAsia="Times New Roman" w:hAnsi="Garamond" w:cs="Times New Roman"/>
          <w:kern w:val="0"/>
          <w:lang w:eastAsia="pt-BR" w:bidi="ar-SA"/>
        </w:rPr>
        <w:t>da-se que o afastamento frontal remanescente receba tratamento paisagístico e urbanístico, integrando o passeio público à área interna do terreno, estabelecendo a relação de cont</w:t>
      </w:r>
      <w:r w:rsidR="00442820">
        <w:rPr>
          <w:rFonts w:ascii="Garamond" w:eastAsia="Times New Roman" w:hAnsi="Garamond" w:cs="Times New Roman"/>
          <w:kern w:val="0"/>
          <w:lang w:eastAsia="pt-BR" w:bidi="ar-SA"/>
        </w:rPr>
        <w:t>i</w:t>
      </w:r>
      <w:r w:rsidR="00442820">
        <w:rPr>
          <w:rFonts w:ascii="Garamond" w:eastAsia="Times New Roman" w:hAnsi="Garamond" w:cs="Times New Roman"/>
          <w:kern w:val="0"/>
          <w:lang w:eastAsia="pt-BR" w:bidi="ar-SA"/>
        </w:rPr>
        <w:t>nuidade</w:t>
      </w:r>
      <w:r w:rsidR="004D509E">
        <w:rPr>
          <w:rFonts w:ascii="Garamond" w:eastAsia="Times New Roman" w:hAnsi="Garamond" w:cs="Times New Roman"/>
          <w:kern w:val="0"/>
          <w:lang w:eastAsia="pt-BR" w:bidi="ar-SA"/>
        </w:rPr>
        <w:t xml:space="preserve"> </w:t>
      </w:r>
      <w:r w:rsidR="00442820">
        <w:rPr>
          <w:rFonts w:ascii="Garamond" w:eastAsia="Times New Roman" w:hAnsi="Garamond" w:cs="Times New Roman"/>
          <w:kern w:val="0"/>
          <w:lang w:eastAsia="pt-BR" w:bidi="ar-SA"/>
        </w:rPr>
        <w:t xml:space="preserve">entre o espaço público e privado, buscando preservar, mesmo que parcialmente, a sensação de “alívio” anteriormente existente. </w:t>
      </w:r>
    </w:p>
    <w:p w:rsidR="00030A40" w:rsidRDefault="00030A40" w:rsidP="00030A40">
      <w:pPr>
        <w:pStyle w:val="Standard"/>
        <w:spacing w:line="276" w:lineRule="auto"/>
        <w:ind w:firstLine="708"/>
        <w:jc w:val="both"/>
        <w:rPr>
          <w:rFonts w:ascii="Garamond" w:hAnsi="Garamond"/>
          <w:kern w:val="0"/>
          <w:lang w:eastAsia="pt-BR"/>
        </w:rPr>
      </w:pPr>
    </w:p>
    <w:p w:rsidR="00193F80" w:rsidRPr="00CB6CFE" w:rsidRDefault="00193F80" w:rsidP="00193F80">
      <w:pPr>
        <w:pStyle w:val="Standard"/>
        <w:numPr>
          <w:ilvl w:val="0"/>
          <w:numId w:val="14"/>
        </w:numPr>
        <w:spacing w:line="276" w:lineRule="auto"/>
        <w:jc w:val="both"/>
        <w:rPr>
          <w:rFonts w:ascii="Garamond" w:hAnsi="Garamond"/>
          <w:b/>
        </w:rPr>
      </w:pPr>
      <w:r w:rsidRPr="00CB6CFE">
        <w:rPr>
          <w:rFonts w:ascii="Garamond" w:hAnsi="Garamond"/>
          <w:b/>
          <w:kern w:val="0"/>
          <w:lang w:eastAsia="pt-BR"/>
        </w:rPr>
        <w:t>É possível que o Ministério Público faça a quantificação de danos da compensação financeira mencionada no item 2 acima transcrito? Se afirmativa a resposta, favor providenciar os cálculos.</w:t>
      </w:r>
    </w:p>
    <w:p w:rsidR="00CB6CFE" w:rsidRDefault="00CB6CFE" w:rsidP="00CB6CFE">
      <w:pPr>
        <w:pStyle w:val="Standard"/>
        <w:spacing w:line="276" w:lineRule="auto"/>
        <w:jc w:val="both"/>
        <w:rPr>
          <w:rFonts w:ascii="Garamond" w:hAnsi="Garamond"/>
          <w:kern w:val="0"/>
          <w:lang w:eastAsia="pt-BR"/>
        </w:rPr>
      </w:pPr>
    </w:p>
    <w:p w:rsidR="00CB6CFE" w:rsidRDefault="00CB6CFE" w:rsidP="00CB6CFE">
      <w:pPr>
        <w:pStyle w:val="Standard"/>
        <w:spacing w:line="276" w:lineRule="auto"/>
        <w:ind w:firstLine="708"/>
        <w:jc w:val="both"/>
        <w:rPr>
          <w:rFonts w:ascii="Garamond" w:hAnsi="Garamond"/>
          <w:kern w:val="0"/>
          <w:lang w:eastAsia="pt-BR"/>
        </w:rPr>
      </w:pPr>
      <w:r>
        <w:rPr>
          <w:rFonts w:ascii="Garamond" w:hAnsi="Garamond"/>
          <w:kern w:val="0"/>
          <w:lang w:eastAsia="pt-BR"/>
        </w:rPr>
        <w:t>O item 2 do Parecer 10 propõe “compensação financeira a ser mensurada pelo Ministério Público levando em consta os documentos aqui arrolados e o dano causado ao patrimônio cultural, revertida a revitalização de outro bem cultural do município, qual seja a Casa de Câmara e Cadeia ou a Casa de Olegário Maciel, ambos tombados”.</w:t>
      </w:r>
    </w:p>
    <w:p w:rsidR="00CB6CFE" w:rsidRDefault="00CB6CFE" w:rsidP="00CB6CFE">
      <w:pPr>
        <w:pStyle w:val="Standard"/>
        <w:spacing w:line="276" w:lineRule="auto"/>
        <w:ind w:firstLine="708"/>
        <w:jc w:val="both"/>
        <w:rPr>
          <w:rFonts w:ascii="Garamond" w:hAnsi="Garamond"/>
          <w:kern w:val="0"/>
          <w:lang w:eastAsia="pt-BR"/>
        </w:rPr>
      </w:pPr>
    </w:p>
    <w:p w:rsidR="00EC421D" w:rsidRDefault="000868FE" w:rsidP="002356EA">
      <w:pPr>
        <w:pStyle w:val="Standard"/>
        <w:spacing w:line="276" w:lineRule="auto"/>
        <w:ind w:firstLine="708"/>
        <w:jc w:val="both"/>
        <w:rPr>
          <w:rFonts w:ascii="Garamond" w:hAnsi="Garamond"/>
          <w:kern w:val="0"/>
          <w:lang w:eastAsia="pt-BR"/>
        </w:rPr>
      </w:pPr>
      <w:r w:rsidRPr="000868FE">
        <w:rPr>
          <w:rFonts w:ascii="Garamond" w:hAnsi="Garamond"/>
          <w:kern w:val="0"/>
          <w:lang w:eastAsia="pt-BR"/>
        </w:rPr>
        <w:t>O direito ambiental</w:t>
      </w:r>
      <w:r w:rsidR="00E816AE">
        <w:rPr>
          <w:rFonts w:ascii="Garamond" w:hAnsi="Garamond"/>
          <w:kern w:val="0"/>
          <w:lang w:eastAsia="pt-BR"/>
        </w:rPr>
        <w:t xml:space="preserve">, no qual se insere a temática do Patrimônio Cultural, </w:t>
      </w:r>
      <w:r w:rsidRPr="000868FE">
        <w:rPr>
          <w:rFonts w:ascii="Garamond" w:hAnsi="Garamond"/>
          <w:kern w:val="0"/>
          <w:lang w:eastAsia="pt-BR"/>
        </w:rPr>
        <w:t>atua de forma a considerar, em primeiro plano, a prevenção, seguida da recuperação e, por fim, o ressarcimento</w:t>
      </w:r>
      <w:r w:rsidR="00E816AE">
        <w:rPr>
          <w:rStyle w:val="Refdenotaderodap"/>
          <w:rFonts w:ascii="Garamond" w:hAnsi="Garamond"/>
          <w:kern w:val="0"/>
          <w:lang w:eastAsia="pt-BR"/>
        </w:rPr>
        <w:footnoteReference w:id="13"/>
      </w:r>
      <w:r w:rsidRPr="000868FE">
        <w:rPr>
          <w:rFonts w:ascii="Garamond" w:hAnsi="Garamond"/>
          <w:kern w:val="0"/>
          <w:lang w:eastAsia="pt-BR"/>
        </w:rPr>
        <w:t xml:space="preserve">. </w:t>
      </w:r>
      <w:r w:rsidR="00E816AE">
        <w:rPr>
          <w:rFonts w:ascii="Garamond" w:hAnsi="Garamond"/>
          <w:kern w:val="0"/>
          <w:lang w:eastAsia="pt-BR"/>
        </w:rPr>
        <w:t xml:space="preserve">Para se promover a prevenção de danos ao patrimônio cultural, um dos instrumentos utilizados </w:t>
      </w:r>
      <w:proofErr w:type="gramStart"/>
      <w:r w:rsidR="00E816AE">
        <w:rPr>
          <w:rFonts w:ascii="Garamond" w:hAnsi="Garamond"/>
          <w:kern w:val="0"/>
          <w:lang w:eastAsia="pt-BR"/>
        </w:rPr>
        <w:t>é</w:t>
      </w:r>
      <w:proofErr w:type="gramEnd"/>
      <w:r w:rsidR="00E816AE">
        <w:rPr>
          <w:rFonts w:ascii="Garamond" w:hAnsi="Garamond"/>
          <w:kern w:val="0"/>
          <w:lang w:eastAsia="pt-BR"/>
        </w:rPr>
        <w:t xml:space="preserve"> a vigilância que deverá ser praticada pelo Poder Público e pela comunidade, objetivando evitar descaracterizações, demolições e outros danos ao acervo cultural de um determinado local</w:t>
      </w:r>
      <w:r w:rsidR="002356EA">
        <w:rPr>
          <w:rFonts w:ascii="Garamond" w:hAnsi="Garamond"/>
          <w:kern w:val="0"/>
          <w:lang w:eastAsia="pt-BR"/>
        </w:rPr>
        <w:t>.</w:t>
      </w:r>
    </w:p>
    <w:p w:rsidR="00442820" w:rsidRDefault="004D509E" w:rsidP="00CB6CFE">
      <w:pPr>
        <w:pStyle w:val="Standard"/>
        <w:spacing w:line="276" w:lineRule="auto"/>
        <w:ind w:firstLine="708"/>
        <w:jc w:val="both"/>
        <w:rPr>
          <w:rFonts w:ascii="Garamond" w:hAnsi="Garamond"/>
          <w:kern w:val="0"/>
          <w:lang w:eastAsia="pt-BR"/>
        </w:rPr>
      </w:pPr>
      <w:r>
        <w:rPr>
          <w:rFonts w:ascii="Garamond" w:hAnsi="Garamond"/>
          <w:kern w:val="0"/>
          <w:lang w:eastAsia="pt-BR"/>
        </w:rPr>
        <w:t xml:space="preserve"> </w:t>
      </w:r>
    </w:p>
    <w:p w:rsidR="00756EED" w:rsidRPr="00E816AE" w:rsidRDefault="00E816AE" w:rsidP="002356EA">
      <w:pPr>
        <w:pStyle w:val="Standard"/>
        <w:spacing w:line="276" w:lineRule="auto"/>
        <w:ind w:firstLine="708"/>
        <w:jc w:val="both"/>
        <w:rPr>
          <w:rFonts w:ascii="Garamond" w:hAnsi="Garamond"/>
          <w:kern w:val="0"/>
          <w:lang w:eastAsia="pt-BR"/>
        </w:rPr>
      </w:pPr>
      <w:r w:rsidRPr="00E816AE">
        <w:rPr>
          <w:rFonts w:ascii="Garamond" w:hAnsi="Garamond"/>
          <w:kern w:val="0"/>
          <w:lang w:eastAsia="pt-BR"/>
        </w:rPr>
        <w:lastRenderedPageBreak/>
        <w:t>Caso o dano venha a ocorrer, a</w:t>
      </w:r>
      <w:r w:rsidR="0045374F" w:rsidRPr="00E816AE">
        <w:rPr>
          <w:rFonts w:ascii="Garamond" w:hAnsi="Garamond"/>
          <w:kern w:val="0"/>
          <w:lang w:eastAsia="pt-BR"/>
        </w:rPr>
        <w:t xml:space="preserve"> reparação do prejuí</w:t>
      </w:r>
      <w:r w:rsidRPr="00E816AE">
        <w:rPr>
          <w:rFonts w:ascii="Garamond" w:hAnsi="Garamond"/>
          <w:kern w:val="0"/>
          <w:lang w:eastAsia="pt-BR"/>
        </w:rPr>
        <w:t xml:space="preserve">zo causado deve ser </w:t>
      </w:r>
      <w:r w:rsidR="0045374F" w:rsidRPr="00E816AE">
        <w:rPr>
          <w:rFonts w:ascii="Garamond" w:hAnsi="Garamond"/>
          <w:kern w:val="0"/>
          <w:lang w:eastAsia="pt-BR"/>
        </w:rPr>
        <w:t>integral, propiciando a recomposição do patrimô</w:t>
      </w:r>
      <w:r w:rsidRPr="00E816AE">
        <w:rPr>
          <w:rFonts w:ascii="Garamond" w:hAnsi="Garamond"/>
          <w:kern w:val="0"/>
          <w:lang w:eastAsia="pt-BR"/>
        </w:rPr>
        <w:t xml:space="preserve">nio </w:t>
      </w:r>
      <w:r w:rsidR="0045374F" w:rsidRPr="00E816AE">
        <w:rPr>
          <w:rFonts w:ascii="Garamond" w:hAnsi="Garamond"/>
          <w:kern w:val="0"/>
          <w:lang w:eastAsia="pt-BR"/>
        </w:rPr>
        <w:t>cultural, na medida do possí</w:t>
      </w:r>
      <w:r w:rsidRPr="00E816AE">
        <w:rPr>
          <w:rFonts w:ascii="Garamond" w:hAnsi="Garamond"/>
          <w:kern w:val="0"/>
          <w:lang w:eastAsia="pt-BR"/>
        </w:rPr>
        <w:t xml:space="preserve">vel, ao estado em que </w:t>
      </w:r>
      <w:r w:rsidR="0045374F" w:rsidRPr="00E816AE">
        <w:rPr>
          <w:rFonts w:ascii="Garamond" w:hAnsi="Garamond"/>
          <w:kern w:val="0"/>
          <w:lang w:eastAsia="pt-BR"/>
        </w:rPr>
        <w:t>se encontrava antes da ocorrência do dano (má</w:t>
      </w:r>
      <w:r w:rsidRPr="00E816AE">
        <w:rPr>
          <w:rFonts w:ascii="Garamond" w:hAnsi="Garamond"/>
          <w:kern w:val="0"/>
          <w:lang w:eastAsia="pt-BR"/>
        </w:rPr>
        <w:t xml:space="preserve">xima </w:t>
      </w:r>
      <w:r w:rsidR="0045374F" w:rsidRPr="00E816AE">
        <w:rPr>
          <w:rFonts w:ascii="Garamond" w:hAnsi="Garamond"/>
          <w:kern w:val="0"/>
          <w:lang w:eastAsia="pt-BR"/>
        </w:rPr>
        <w:t>coincidência possível com a situação original).</w:t>
      </w:r>
      <w:r w:rsidR="00842670" w:rsidRPr="00E816AE">
        <w:rPr>
          <w:rFonts w:ascii="Garamond" w:hAnsi="Garamond"/>
          <w:kern w:val="0"/>
          <w:lang w:eastAsia="pt-BR"/>
        </w:rPr>
        <w:t xml:space="preserve"> </w:t>
      </w:r>
      <w:r w:rsidR="00756EED" w:rsidRPr="00E816AE">
        <w:rPr>
          <w:rFonts w:ascii="Garamond" w:hAnsi="Garamond"/>
          <w:kern w:val="0"/>
          <w:lang w:eastAsia="pt-BR"/>
        </w:rPr>
        <w:t>Portanto, no mesmo sentido em que a prevençã</w:t>
      </w:r>
      <w:r w:rsidR="00756EED">
        <w:rPr>
          <w:rFonts w:ascii="Garamond" w:hAnsi="Garamond"/>
          <w:kern w:val="0"/>
          <w:lang w:eastAsia="pt-BR"/>
        </w:rPr>
        <w:t xml:space="preserve">o </w:t>
      </w:r>
      <w:r w:rsidR="00756EED" w:rsidRPr="00E816AE">
        <w:rPr>
          <w:rFonts w:ascii="Garamond" w:hAnsi="Garamond"/>
          <w:kern w:val="0"/>
          <w:lang w:eastAsia="pt-BR"/>
        </w:rPr>
        <w:t>prefere à composição, o aspecto reparató</w:t>
      </w:r>
      <w:r w:rsidR="00756EED">
        <w:rPr>
          <w:rFonts w:ascii="Garamond" w:hAnsi="Garamond"/>
          <w:kern w:val="0"/>
          <w:lang w:eastAsia="pt-BR"/>
        </w:rPr>
        <w:t xml:space="preserve">rio deve </w:t>
      </w:r>
      <w:r w:rsidR="00756EED" w:rsidRPr="00E816AE">
        <w:rPr>
          <w:rFonts w:ascii="Garamond" w:hAnsi="Garamond"/>
          <w:kern w:val="0"/>
          <w:lang w:eastAsia="pt-BR"/>
        </w:rPr>
        <w:t>sempre predominar em relação ao ressarcimento, já que</w:t>
      </w:r>
      <w:r w:rsidR="00756EED">
        <w:rPr>
          <w:rFonts w:ascii="Garamond" w:hAnsi="Garamond"/>
          <w:kern w:val="0"/>
          <w:lang w:eastAsia="pt-BR"/>
        </w:rPr>
        <w:t xml:space="preserve"> </w:t>
      </w:r>
      <w:r w:rsidR="00756EED" w:rsidRPr="00E816AE">
        <w:rPr>
          <w:rFonts w:ascii="Garamond" w:hAnsi="Garamond"/>
          <w:kern w:val="0"/>
          <w:lang w:eastAsia="pt-BR"/>
        </w:rPr>
        <w:t>a indenização, evidentemente, não tem o condã</w:t>
      </w:r>
      <w:r w:rsidR="00756EED">
        <w:rPr>
          <w:rFonts w:ascii="Garamond" w:hAnsi="Garamond"/>
          <w:kern w:val="0"/>
          <w:lang w:eastAsia="pt-BR"/>
        </w:rPr>
        <w:t xml:space="preserve">o de </w:t>
      </w:r>
      <w:r w:rsidR="00756EED" w:rsidRPr="00E816AE">
        <w:rPr>
          <w:rFonts w:ascii="Garamond" w:hAnsi="Garamond"/>
          <w:kern w:val="0"/>
          <w:lang w:eastAsia="pt-BR"/>
        </w:rPr>
        <w:t>recuperar o dano social causado.</w:t>
      </w:r>
    </w:p>
    <w:p w:rsidR="00756EED" w:rsidRDefault="00756EED" w:rsidP="00E816AE">
      <w:pPr>
        <w:pStyle w:val="Standard"/>
        <w:spacing w:line="276" w:lineRule="auto"/>
        <w:ind w:firstLine="708"/>
        <w:jc w:val="both"/>
        <w:rPr>
          <w:rFonts w:ascii="Garamond" w:hAnsi="Garamond"/>
          <w:kern w:val="0"/>
          <w:lang w:eastAsia="pt-BR"/>
        </w:rPr>
      </w:pPr>
    </w:p>
    <w:p w:rsidR="00842670" w:rsidRDefault="00756EED" w:rsidP="00756EED">
      <w:pPr>
        <w:pStyle w:val="Standard"/>
        <w:spacing w:line="276" w:lineRule="auto"/>
        <w:ind w:firstLine="708"/>
        <w:jc w:val="both"/>
        <w:rPr>
          <w:rFonts w:ascii="Garamond" w:hAnsi="Garamond"/>
          <w:kern w:val="0"/>
          <w:lang w:eastAsia="pt-BR"/>
        </w:rPr>
      </w:pPr>
      <w:r w:rsidRPr="00E816AE">
        <w:rPr>
          <w:rFonts w:ascii="Garamond" w:hAnsi="Garamond"/>
          <w:kern w:val="0"/>
          <w:lang w:eastAsia="pt-BR"/>
        </w:rPr>
        <w:t>Em caso de impossibilidade técnica de recuperaçã</w:t>
      </w:r>
      <w:r>
        <w:rPr>
          <w:rFonts w:ascii="Garamond" w:hAnsi="Garamond"/>
          <w:kern w:val="0"/>
          <w:lang w:eastAsia="pt-BR"/>
        </w:rPr>
        <w:t xml:space="preserve">o do </w:t>
      </w:r>
      <w:r w:rsidRPr="00E816AE">
        <w:rPr>
          <w:rFonts w:ascii="Garamond" w:hAnsi="Garamond"/>
          <w:kern w:val="0"/>
          <w:lang w:eastAsia="pt-BR"/>
        </w:rPr>
        <w:t>bem, parcial ou total, tornando-se irreversí</w:t>
      </w:r>
      <w:r>
        <w:rPr>
          <w:rFonts w:ascii="Garamond" w:hAnsi="Garamond"/>
          <w:kern w:val="0"/>
          <w:lang w:eastAsia="pt-BR"/>
        </w:rPr>
        <w:t xml:space="preserve">veis os danos </w:t>
      </w:r>
      <w:r w:rsidRPr="00E816AE">
        <w:rPr>
          <w:rFonts w:ascii="Garamond" w:hAnsi="Garamond"/>
          <w:kern w:val="0"/>
          <w:lang w:eastAsia="pt-BR"/>
        </w:rPr>
        <w:t>causados, caberá indenização em pecúnia.</w:t>
      </w:r>
      <w:r>
        <w:rPr>
          <w:rFonts w:ascii="Garamond" w:hAnsi="Garamond"/>
          <w:kern w:val="0"/>
          <w:lang w:eastAsia="pt-BR"/>
        </w:rPr>
        <w:t xml:space="preserve"> </w:t>
      </w:r>
      <w:r w:rsidR="00842670" w:rsidRPr="00E816AE">
        <w:rPr>
          <w:rFonts w:ascii="Garamond" w:hAnsi="Garamond"/>
          <w:kern w:val="0"/>
          <w:lang w:eastAsia="pt-BR"/>
        </w:rPr>
        <w:t>Entendemos também ser cabível a indenizaçã</w:t>
      </w:r>
      <w:r w:rsidR="00E816AE">
        <w:rPr>
          <w:rFonts w:ascii="Garamond" w:hAnsi="Garamond"/>
          <w:kern w:val="0"/>
          <w:lang w:eastAsia="pt-BR"/>
        </w:rPr>
        <w:t xml:space="preserve">o em </w:t>
      </w:r>
      <w:r w:rsidR="00842670" w:rsidRPr="00E816AE">
        <w:rPr>
          <w:rFonts w:ascii="Garamond" w:hAnsi="Garamond"/>
          <w:kern w:val="0"/>
          <w:lang w:eastAsia="pt-BR"/>
        </w:rPr>
        <w:t>decorrência da privação ou obstrução de acesso à</w:t>
      </w:r>
      <w:r w:rsidR="00E816AE">
        <w:rPr>
          <w:rFonts w:ascii="Garamond" w:hAnsi="Garamond"/>
          <w:kern w:val="0"/>
          <w:lang w:eastAsia="pt-BR"/>
        </w:rPr>
        <w:t xml:space="preserve"> </w:t>
      </w:r>
      <w:r w:rsidR="00842670" w:rsidRPr="00E816AE">
        <w:rPr>
          <w:rFonts w:ascii="Garamond" w:hAnsi="Garamond"/>
          <w:kern w:val="0"/>
          <w:lang w:eastAsia="pt-BR"/>
        </w:rPr>
        <w:t>fruição plena e hígida dos bens culturais</w:t>
      </w:r>
      <w:r w:rsidR="00E816AE">
        <w:rPr>
          <w:rFonts w:ascii="Garamond" w:hAnsi="Garamond"/>
          <w:kern w:val="0"/>
          <w:lang w:eastAsia="pt-BR"/>
        </w:rPr>
        <w:t xml:space="preserve">, bem como </w:t>
      </w:r>
      <w:r w:rsidR="00842670" w:rsidRPr="00E816AE">
        <w:rPr>
          <w:rFonts w:ascii="Garamond" w:hAnsi="Garamond"/>
          <w:kern w:val="0"/>
          <w:lang w:eastAsia="pt-BR"/>
        </w:rPr>
        <w:t>pelos chamados lucro</w:t>
      </w:r>
      <w:r w:rsidR="00E816AE">
        <w:rPr>
          <w:rFonts w:ascii="Garamond" w:hAnsi="Garamond"/>
          <w:kern w:val="0"/>
          <w:lang w:eastAsia="pt-BR"/>
        </w:rPr>
        <w:t xml:space="preserve">s cessantes ambientais ou danos </w:t>
      </w:r>
      <w:r w:rsidR="00842670" w:rsidRPr="00E816AE">
        <w:rPr>
          <w:rFonts w:ascii="Garamond" w:hAnsi="Garamond"/>
          <w:kern w:val="0"/>
          <w:lang w:eastAsia="pt-BR"/>
        </w:rPr>
        <w:t>ambientais intercorrentes</w:t>
      </w:r>
      <w:r w:rsidR="00E816AE">
        <w:rPr>
          <w:rStyle w:val="Refdenotaderodap"/>
          <w:rFonts w:ascii="Garamond" w:hAnsi="Garamond"/>
          <w:kern w:val="0"/>
          <w:lang w:eastAsia="pt-BR"/>
        </w:rPr>
        <w:footnoteReference w:id="14"/>
      </w:r>
      <w:r w:rsidR="00842670" w:rsidRPr="00E816AE">
        <w:rPr>
          <w:rFonts w:ascii="Garamond" w:hAnsi="Garamond"/>
          <w:kern w:val="0"/>
          <w:lang w:eastAsia="pt-BR"/>
        </w:rPr>
        <w:t>.</w:t>
      </w:r>
      <w:r w:rsidR="00E816AE" w:rsidRPr="00E816AE">
        <w:rPr>
          <w:rFonts w:ascii="Garamond" w:hAnsi="Garamond"/>
          <w:kern w:val="0"/>
          <w:lang w:eastAsia="pt-BR"/>
        </w:rPr>
        <w:t xml:space="preserve"> </w:t>
      </w:r>
    </w:p>
    <w:p w:rsidR="00842670" w:rsidRDefault="00842670" w:rsidP="00E816AE">
      <w:pPr>
        <w:pStyle w:val="Standard"/>
        <w:spacing w:line="276" w:lineRule="auto"/>
        <w:ind w:firstLine="708"/>
        <w:jc w:val="both"/>
        <w:rPr>
          <w:rFonts w:ascii="Garamond" w:hAnsi="Garamond"/>
          <w:kern w:val="0"/>
          <w:lang w:eastAsia="pt-BR"/>
        </w:rPr>
      </w:pPr>
    </w:p>
    <w:p w:rsidR="00756EED" w:rsidRPr="004D509E" w:rsidRDefault="004E0BCE" w:rsidP="004D509E">
      <w:pPr>
        <w:pStyle w:val="Standard"/>
        <w:spacing w:line="276" w:lineRule="auto"/>
        <w:ind w:firstLine="708"/>
        <w:jc w:val="both"/>
        <w:rPr>
          <w:rFonts w:ascii="Garamond" w:hAnsi="Garamond"/>
          <w:kern w:val="0"/>
          <w:lang w:eastAsia="pt-BR"/>
        </w:rPr>
      </w:pPr>
      <w:r>
        <w:rPr>
          <w:rFonts w:ascii="Garamond" w:hAnsi="Garamond"/>
          <w:kern w:val="0"/>
          <w:lang w:eastAsia="pt-BR"/>
        </w:rPr>
        <w:t xml:space="preserve">No caso em análise, conforme já descrito neste documento, </w:t>
      </w:r>
      <w:r w:rsidR="004D509E">
        <w:rPr>
          <w:rFonts w:ascii="Garamond" w:hAnsi="Garamond"/>
          <w:kern w:val="0"/>
          <w:lang w:eastAsia="pt-BR"/>
        </w:rPr>
        <w:t>constatou-se que não ocorreu a vigilância, resultando na descaracterização do bem cultural. E</w:t>
      </w:r>
      <w:r>
        <w:rPr>
          <w:rFonts w:ascii="Garamond" w:hAnsi="Garamond"/>
          <w:kern w:val="0"/>
          <w:lang w:eastAsia="pt-BR"/>
        </w:rPr>
        <w:t xml:space="preserve"> possível recuperar as características originais da fachada principal da edificação, seja ela voltada para o logradouro público, como recomendado por este Setor Técnico, ou visível através de átrio ou vazio no “interior” do novo volume criado, conforme proposto pelo arquiteto Alex de Ca</w:t>
      </w:r>
      <w:r w:rsidR="0012696E">
        <w:rPr>
          <w:rFonts w:ascii="Garamond" w:hAnsi="Garamond"/>
          <w:kern w:val="0"/>
          <w:lang w:eastAsia="pt-BR"/>
        </w:rPr>
        <w:t>s</w:t>
      </w:r>
      <w:r>
        <w:rPr>
          <w:rFonts w:ascii="Garamond" w:hAnsi="Garamond"/>
          <w:kern w:val="0"/>
          <w:lang w:eastAsia="pt-BR"/>
        </w:rPr>
        <w:t xml:space="preserve">tro Borges no Parecer preliminar, que fundamentou a elaboração do Parecer 10 do </w:t>
      </w:r>
      <w:r>
        <w:rPr>
          <w:rFonts w:ascii="Garamond" w:eastAsia="Arial Unicode MS" w:hAnsi="Garamond"/>
          <w:kern w:val="0"/>
          <w:lang w:eastAsia="pt-BR"/>
        </w:rPr>
        <w:t xml:space="preserve">CONDEPAHC. Ademais, não cabe indenização de um dano, caso venha a ser construído um novo volume frontal ao prédio existente obedecendo </w:t>
      </w:r>
      <w:r w:rsidR="0012696E">
        <w:rPr>
          <w:rFonts w:ascii="Garamond" w:eastAsia="Arial Unicode MS" w:hAnsi="Garamond"/>
          <w:kern w:val="0"/>
          <w:lang w:eastAsia="pt-BR"/>
        </w:rPr>
        <w:t>às</w:t>
      </w:r>
      <w:r>
        <w:rPr>
          <w:rFonts w:ascii="Garamond" w:eastAsia="Arial Unicode MS" w:hAnsi="Garamond"/>
          <w:kern w:val="0"/>
          <w:lang w:eastAsia="pt-BR"/>
        </w:rPr>
        <w:t xml:space="preserve"> recomendações do Parecer 10, que foi aprovado pelos órgãos competentes. </w:t>
      </w:r>
    </w:p>
    <w:p w:rsidR="004E0BCE" w:rsidRDefault="004E0BCE" w:rsidP="00E816AE">
      <w:pPr>
        <w:pStyle w:val="Standard"/>
        <w:spacing w:line="276" w:lineRule="auto"/>
        <w:ind w:firstLine="708"/>
        <w:jc w:val="both"/>
        <w:rPr>
          <w:rFonts w:ascii="Garamond" w:eastAsia="Arial Unicode MS" w:hAnsi="Garamond"/>
          <w:kern w:val="0"/>
          <w:lang w:eastAsia="pt-BR"/>
        </w:rPr>
      </w:pPr>
    </w:p>
    <w:p w:rsidR="00842670" w:rsidRDefault="004E0BCE" w:rsidP="00E816AE">
      <w:pPr>
        <w:pStyle w:val="Standard"/>
        <w:spacing w:line="276" w:lineRule="auto"/>
        <w:ind w:firstLine="708"/>
        <w:jc w:val="both"/>
        <w:rPr>
          <w:rFonts w:ascii="Garamond" w:eastAsia="Arial Unicode MS" w:hAnsi="Garamond"/>
          <w:kern w:val="0"/>
          <w:lang w:eastAsia="pt-BR"/>
        </w:rPr>
      </w:pPr>
      <w:r>
        <w:rPr>
          <w:rFonts w:ascii="Garamond" w:eastAsia="Arial Unicode MS" w:hAnsi="Garamond"/>
          <w:kern w:val="0"/>
          <w:lang w:eastAsia="pt-BR"/>
        </w:rPr>
        <w:t xml:space="preserve">Este Setor Técnico entende que cabe </w:t>
      </w:r>
      <w:r w:rsidR="0012696E">
        <w:rPr>
          <w:rFonts w:ascii="Garamond" w:eastAsia="Arial Unicode MS" w:hAnsi="Garamond"/>
          <w:kern w:val="0"/>
          <w:lang w:eastAsia="pt-BR"/>
        </w:rPr>
        <w:t xml:space="preserve">a </w:t>
      </w:r>
      <w:r>
        <w:rPr>
          <w:rFonts w:ascii="Garamond" w:eastAsia="Arial Unicode MS" w:hAnsi="Garamond"/>
          <w:kern w:val="0"/>
          <w:lang w:eastAsia="pt-BR"/>
        </w:rPr>
        <w:t>indenização decorrente das descaracterizações sofridas pelo imóvel após a realização do inventário no ano de 1999</w:t>
      </w:r>
      <w:r w:rsidR="0012696E">
        <w:rPr>
          <w:rFonts w:ascii="Garamond" w:eastAsia="Arial Unicode MS" w:hAnsi="Garamond"/>
          <w:kern w:val="0"/>
          <w:lang w:eastAsia="pt-BR"/>
        </w:rPr>
        <w:t xml:space="preserve"> até a presente data, realizadas</w:t>
      </w:r>
      <w:r w:rsidR="00670EFE">
        <w:rPr>
          <w:rFonts w:ascii="Garamond" w:eastAsia="Arial Unicode MS" w:hAnsi="Garamond"/>
          <w:kern w:val="0"/>
          <w:lang w:eastAsia="pt-BR"/>
        </w:rPr>
        <w:t xml:space="preserve"> </w:t>
      </w:r>
      <w:r w:rsidR="0012696E">
        <w:rPr>
          <w:rFonts w:ascii="Garamond" w:eastAsia="Arial Unicode MS" w:hAnsi="Garamond"/>
          <w:kern w:val="0"/>
          <w:lang w:eastAsia="pt-BR"/>
        </w:rPr>
        <w:t xml:space="preserve">sem a autorização dos órgãos municipais competentes. </w:t>
      </w:r>
      <w:r w:rsidR="003E412F">
        <w:rPr>
          <w:rFonts w:ascii="Garamond" w:eastAsia="Arial Unicode MS" w:hAnsi="Garamond"/>
          <w:kern w:val="0"/>
          <w:lang w:eastAsia="pt-BR"/>
        </w:rPr>
        <w:t>Estas intervenções ilícitas, apesar de reversíveis,</w:t>
      </w:r>
      <w:r w:rsidR="00670EFE">
        <w:rPr>
          <w:rFonts w:ascii="Garamond" w:eastAsia="Arial Unicode MS" w:hAnsi="Garamond"/>
          <w:kern w:val="0"/>
          <w:lang w:eastAsia="pt-BR"/>
        </w:rPr>
        <w:t xml:space="preserve"> </w:t>
      </w:r>
      <w:r w:rsidR="003E412F">
        <w:rPr>
          <w:rFonts w:ascii="Garamond" w:eastAsia="Arial Unicode MS" w:hAnsi="Garamond"/>
          <w:kern w:val="0"/>
          <w:lang w:eastAsia="pt-BR"/>
        </w:rPr>
        <w:t>alteraram as características originais do imóvel, prejudicando a fruição plena do bem cultural pela população local.</w:t>
      </w:r>
      <w:r w:rsidR="00670EFE">
        <w:rPr>
          <w:rFonts w:ascii="Garamond" w:eastAsia="Arial Unicode MS" w:hAnsi="Garamond"/>
          <w:kern w:val="0"/>
          <w:lang w:eastAsia="pt-BR"/>
        </w:rPr>
        <w:t xml:space="preserve"> O cálculo da valoração encontra-se no Anexo 1 deste documento.</w:t>
      </w:r>
    </w:p>
    <w:p w:rsidR="00670EFE" w:rsidRPr="00222120" w:rsidRDefault="00670EFE">
      <w:pPr>
        <w:pStyle w:val="Recuodecorpodetexto3"/>
        <w:spacing w:line="276" w:lineRule="auto"/>
        <w:ind w:left="0" w:firstLine="708"/>
        <w:rPr>
          <w:rFonts w:ascii="Garamond" w:hAnsi="Garamond"/>
        </w:rPr>
      </w:pPr>
    </w:p>
    <w:p w:rsidR="002B14BD" w:rsidRPr="00222120" w:rsidRDefault="00EB2337">
      <w:pPr>
        <w:pStyle w:val="Standard"/>
        <w:numPr>
          <w:ilvl w:val="0"/>
          <w:numId w:val="4"/>
        </w:numPr>
        <w:spacing w:line="276" w:lineRule="auto"/>
        <w:jc w:val="both"/>
        <w:rPr>
          <w:rFonts w:ascii="Garamond" w:hAnsi="Garamond" w:cs="Garamond"/>
          <w:b/>
          <w:bCs/>
        </w:rPr>
      </w:pPr>
      <w:r w:rsidRPr="00222120">
        <w:rPr>
          <w:rFonts w:ascii="Garamond" w:hAnsi="Garamond" w:cs="Garamond"/>
          <w:b/>
          <w:bCs/>
        </w:rPr>
        <w:t>Encerramento</w:t>
      </w:r>
    </w:p>
    <w:p w:rsidR="002B14BD" w:rsidRPr="00222120" w:rsidRDefault="002B14BD">
      <w:pPr>
        <w:pStyle w:val="Standard"/>
        <w:spacing w:line="276" w:lineRule="auto"/>
        <w:ind w:left="360"/>
        <w:jc w:val="both"/>
        <w:rPr>
          <w:rFonts w:ascii="Garamond" w:hAnsi="Garamond" w:cs="Garamond"/>
          <w:b/>
          <w:bCs/>
        </w:rPr>
      </w:pPr>
    </w:p>
    <w:p w:rsidR="002B14BD" w:rsidRPr="00222120" w:rsidRDefault="00EB2337">
      <w:pPr>
        <w:pStyle w:val="Standard"/>
        <w:spacing w:line="276" w:lineRule="auto"/>
        <w:ind w:firstLine="709"/>
        <w:jc w:val="both"/>
        <w:rPr>
          <w:rFonts w:ascii="Garamond" w:hAnsi="Garamond" w:cs="Garamond"/>
        </w:rPr>
      </w:pPr>
      <w:r w:rsidRPr="00222120">
        <w:rPr>
          <w:rFonts w:ascii="Garamond" w:hAnsi="Garamond" w:cs="Garamond"/>
        </w:rPr>
        <w:t>São essas as considerações do Setor Técnico desta Promotoria, que se coloca à disposição para o que mais se fizer necessário.</w:t>
      </w:r>
    </w:p>
    <w:p w:rsidR="002B14BD" w:rsidRDefault="00670EFE">
      <w:pPr>
        <w:pStyle w:val="Standard"/>
        <w:spacing w:line="276" w:lineRule="auto"/>
        <w:ind w:firstLine="2160"/>
        <w:jc w:val="right"/>
        <w:rPr>
          <w:rFonts w:ascii="Garamond" w:hAnsi="Garamond" w:cs="Garamond"/>
        </w:rPr>
      </w:pPr>
      <w:r>
        <w:rPr>
          <w:rFonts w:ascii="Garamond" w:hAnsi="Garamond" w:cs="Garamond"/>
        </w:rPr>
        <w:t>Belo Horizonte, 03 de agosto</w:t>
      </w:r>
      <w:r w:rsidR="00EB2337" w:rsidRPr="00222120">
        <w:rPr>
          <w:rFonts w:ascii="Garamond" w:hAnsi="Garamond" w:cs="Garamond"/>
        </w:rPr>
        <w:t xml:space="preserve"> de 2017.</w:t>
      </w:r>
    </w:p>
    <w:p w:rsidR="00670EFE" w:rsidRPr="00222120" w:rsidRDefault="00670EFE">
      <w:pPr>
        <w:pStyle w:val="Standard"/>
        <w:spacing w:line="276" w:lineRule="auto"/>
        <w:ind w:firstLine="2160"/>
        <w:jc w:val="right"/>
        <w:rPr>
          <w:rFonts w:ascii="Garamond" w:hAnsi="Garamond" w:cs="Garamond"/>
        </w:rPr>
      </w:pPr>
    </w:p>
    <w:p w:rsidR="002A6EF0" w:rsidRDefault="002A6EF0" w:rsidP="002A6EF0">
      <w:pPr>
        <w:pStyle w:val="Ttulo"/>
        <w:spacing w:before="0" w:after="0"/>
        <w:jc w:val="center"/>
        <w:rPr>
          <w:rFonts w:ascii="Garamond" w:hAnsi="Garamond" w:cs="Garamond"/>
          <w:sz w:val="24"/>
          <w:szCs w:val="24"/>
        </w:rPr>
      </w:pPr>
      <w:r w:rsidRPr="002A6EF0">
        <w:rPr>
          <w:rFonts w:ascii="Garamond" w:hAnsi="Garamond" w:cs="Garamond"/>
          <w:sz w:val="24"/>
          <w:szCs w:val="24"/>
        </w:rPr>
        <w:t xml:space="preserve">Andréa </w:t>
      </w:r>
      <w:proofErr w:type="spellStart"/>
      <w:r w:rsidRPr="002A6EF0">
        <w:rPr>
          <w:rFonts w:ascii="Garamond" w:hAnsi="Garamond" w:cs="Garamond"/>
          <w:sz w:val="24"/>
          <w:szCs w:val="24"/>
        </w:rPr>
        <w:t>Lanna</w:t>
      </w:r>
      <w:proofErr w:type="spellEnd"/>
      <w:r w:rsidRPr="002A6EF0">
        <w:rPr>
          <w:rFonts w:ascii="Garamond" w:hAnsi="Garamond" w:cs="Garamond"/>
          <w:sz w:val="24"/>
          <w:szCs w:val="24"/>
        </w:rPr>
        <w:t xml:space="preserve"> Mendes Novais</w:t>
      </w:r>
    </w:p>
    <w:p w:rsidR="002A6EF0" w:rsidRPr="002A6EF0" w:rsidRDefault="002A6EF0" w:rsidP="002A6EF0">
      <w:pPr>
        <w:pStyle w:val="Ttulo"/>
        <w:spacing w:before="0" w:after="0"/>
        <w:jc w:val="center"/>
        <w:rPr>
          <w:rFonts w:ascii="Garamond" w:hAnsi="Garamond" w:cs="Garamond"/>
          <w:sz w:val="24"/>
          <w:szCs w:val="24"/>
        </w:rPr>
      </w:pPr>
      <w:r w:rsidRPr="002A6EF0">
        <w:rPr>
          <w:rFonts w:ascii="Garamond" w:hAnsi="Garamond" w:cs="Garamond"/>
          <w:sz w:val="24"/>
          <w:szCs w:val="24"/>
        </w:rPr>
        <w:t>Analista do Ministério Público – MAMP 3951</w:t>
      </w:r>
    </w:p>
    <w:p w:rsidR="00670EFE" w:rsidRDefault="002A6EF0" w:rsidP="00EC421D">
      <w:pPr>
        <w:pStyle w:val="Standard"/>
        <w:jc w:val="center"/>
        <w:rPr>
          <w:rFonts w:ascii="Garamond" w:hAnsi="Garamond" w:cs="Garamond"/>
        </w:rPr>
      </w:pPr>
      <w:r w:rsidRPr="002A6EF0">
        <w:rPr>
          <w:rFonts w:ascii="Garamond" w:hAnsi="Garamond" w:cs="Garamond"/>
        </w:rPr>
        <w:t>Arquiteta Urbanista – CAU 27713-4</w:t>
      </w:r>
      <w:r w:rsidR="00670EFE">
        <w:rPr>
          <w:rFonts w:ascii="Garamond" w:hAnsi="Garamond" w:cs="Garamond"/>
        </w:rPr>
        <w:br w:type="page"/>
      </w:r>
    </w:p>
    <w:p w:rsidR="00670EFE" w:rsidRPr="00670EFE" w:rsidRDefault="00670EFE" w:rsidP="00BE736F">
      <w:pPr>
        <w:widowControl/>
        <w:suppressAutoHyphens w:val="0"/>
        <w:autoSpaceDN/>
        <w:spacing w:line="276" w:lineRule="auto"/>
        <w:jc w:val="center"/>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lastRenderedPageBreak/>
        <w:t>ANEXO 1 - Critério Metodológico:</w:t>
      </w:r>
    </w:p>
    <w:p w:rsidR="00670EFE" w:rsidRPr="00670EFE" w:rsidRDefault="00670EFE" w:rsidP="00BE736F">
      <w:pPr>
        <w:widowControl/>
        <w:suppressAutoHyphens w:val="0"/>
        <w:autoSpaceDN/>
        <w:spacing w:line="276" w:lineRule="auto"/>
        <w:ind w:left="360"/>
        <w:jc w:val="both"/>
        <w:textAlignment w:val="auto"/>
        <w:rPr>
          <w:rFonts w:ascii="Garamond" w:eastAsia="Times New Roman" w:hAnsi="Garamond" w:cs="Times New Roman"/>
          <w:b/>
          <w:bCs/>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color w:val="000000"/>
          <w:kern w:val="0"/>
          <w:lang w:eastAsia="pt-BR" w:bidi="ar-SA"/>
        </w:rPr>
      </w:pPr>
      <w:r w:rsidRPr="00670EFE">
        <w:rPr>
          <w:rFonts w:ascii="Garamond" w:eastAsia="Times New Roman" w:hAnsi="Garamond" w:cs="Times New Roman"/>
          <w:kern w:val="0"/>
          <w:lang w:eastAsia="pt-BR" w:bidi="ar-SA"/>
        </w:rPr>
        <w:t>Conquanto não exista, para o caso em apreço, uma metodologia específica a respeito da quantificação dos danos causados em detrimento do patrimônio cultural, a jurisprudê</w:t>
      </w:r>
      <w:r w:rsidRPr="00670EFE">
        <w:rPr>
          <w:rFonts w:ascii="Garamond" w:eastAsia="Times New Roman" w:hAnsi="Garamond" w:cs="Times New Roman"/>
          <w:kern w:val="0"/>
          <w:lang w:eastAsia="pt-BR" w:bidi="ar-SA"/>
        </w:rPr>
        <w:t>n</w:t>
      </w:r>
      <w:r w:rsidRPr="00670EFE">
        <w:rPr>
          <w:rFonts w:ascii="Garamond" w:eastAsia="Times New Roman" w:hAnsi="Garamond" w:cs="Times New Roman"/>
          <w:kern w:val="0"/>
          <w:lang w:eastAsia="pt-BR" w:bidi="ar-SA"/>
        </w:rPr>
        <w:t>cia do TJMG tem se valido da aplicação das balizas contidas na normatização sancionatória administrativa para a definição, levando-se em conta as particularidades de cada caso co</w:t>
      </w:r>
      <w:r w:rsidRPr="00670EFE">
        <w:rPr>
          <w:rFonts w:ascii="Garamond" w:eastAsia="Times New Roman" w:hAnsi="Garamond" w:cs="Times New Roman"/>
          <w:kern w:val="0"/>
          <w:lang w:eastAsia="pt-BR" w:bidi="ar-SA"/>
        </w:rPr>
        <w:t>n</w:t>
      </w:r>
      <w:r w:rsidRPr="00670EFE">
        <w:rPr>
          <w:rFonts w:ascii="Garamond" w:eastAsia="Times New Roman" w:hAnsi="Garamond" w:cs="Times New Roman"/>
          <w:kern w:val="0"/>
          <w:lang w:eastAsia="pt-BR" w:bidi="ar-SA"/>
        </w:rPr>
        <w:t xml:space="preserve">creto, do </w:t>
      </w:r>
      <w:r w:rsidRPr="00670EFE">
        <w:rPr>
          <w:rFonts w:ascii="Garamond" w:eastAsia="Times New Roman" w:hAnsi="Garamond" w:cs="Times New Roman"/>
          <w:i/>
          <w:kern w:val="0"/>
          <w:lang w:eastAsia="pt-BR" w:bidi="ar-SA"/>
        </w:rPr>
        <w:t>quantum</w:t>
      </w:r>
      <w:r w:rsidRPr="00670EFE">
        <w:rPr>
          <w:rFonts w:ascii="Garamond" w:eastAsia="Times New Roman" w:hAnsi="Garamond" w:cs="Times New Roman"/>
          <w:kern w:val="0"/>
          <w:lang w:eastAsia="pt-BR" w:bidi="ar-SA"/>
        </w:rPr>
        <w:t xml:space="preserve"> a ser pago a título de indenização cível quando verificada a ocorrência de danos ao meio ambiente. Neste sentido: </w:t>
      </w:r>
      <w:r w:rsidRPr="00670EFE">
        <w:rPr>
          <w:rFonts w:ascii="Garamond" w:eastAsia="Times New Roman" w:hAnsi="Garamond" w:cs="Times New Roman"/>
          <w:color w:val="000000"/>
          <w:kern w:val="0"/>
          <w:lang w:eastAsia="pt-BR" w:bidi="ar-SA"/>
        </w:rPr>
        <w:t>APELAÇÃO CÍVEL N° 1.0024.05.700749-4/001 - COMARCA DE BELO HORIZONTE; APELAÇÃO CÍVEL N° 1.0024.03.131619-3/001 - COMARCA DE BELO HORIZONTE. </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color w:val="000000"/>
          <w:kern w:val="0"/>
          <w:lang w:eastAsia="pt-BR" w:bidi="ar-SA"/>
        </w:rPr>
      </w:pPr>
    </w:p>
    <w:p w:rsidR="00670EFE" w:rsidRDefault="00670EFE" w:rsidP="00BE736F">
      <w:pPr>
        <w:widowControl/>
        <w:suppressAutoHyphens w:val="0"/>
        <w:autoSpaceDN/>
        <w:spacing w:line="276" w:lineRule="auto"/>
        <w:ind w:firstLine="709"/>
        <w:jc w:val="both"/>
        <w:textAlignment w:val="auto"/>
        <w:rPr>
          <w:rFonts w:ascii="Garamond" w:eastAsia="Arial Unicode MS" w:hAnsi="Garamond" w:cs="Times New Roman"/>
          <w:color w:val="000000"/>
          <w:kern w:val="0"/>
          <w:lang w:eastAsia="pt-BR" w:bidi="ar-SA"/>
        </w:rPr>
      </w:pPr>
      <w:r w:rsidRPr="00670EFE">
        <w:rPr>
          <w:rFonts w:ascii="Garamond" w:eastAsia="Arial Unicode MS" w:hAnsi="Garamond" w:cs="Times New Roman"/>
          <w:color w:val="000000"/>
          <w:kern w:val="0"/>
          <w:lang w:eastAsia="pt-BR" w:bidi="ar-SA"/>
        </w:rPr>
        <w:t>O valor fixado a título de dano ambiental norteia-se pelos critérios estabelecidos no artigo 6º da Lei 9605/98, acrescido dos elementos probatórios dos autos que indiquem a gravidade da conduta, a existência de aferição de lucro pela prática do ilícito ambiental e a capacidade econômica do ofensor. Em reexame necessário, reforma-se a sentença, prejud</w:t>
      </w:r>
      <w:r w:rsidRPr="00670EFE">
        <w:rPr>
          <w:rFonts w:ascii="Garamond" w:eastAsia="Arial Unicode MS" w:hAnsi="Garamond" w:cs="Times New Roman"/>
          <w:color w:val="000000"/>
          <w:kern w:val="0"/>
          <w:lang w:eastAsia="pt-BR" w:bidi="ar-SA"/>
        </w:rPr>
        <w:t>i</w:t>
      </w:r>
      <w:r w:rsidRPr="00670EFE">
        <w:rPr>
          <w:rFonts w:ascii="Garamond" w:eastAsia="Arial Unicode MS" w:hAnsi="Garamond" w:cs="Times New Roman"/>
          <w:color w:val="000000"/>
          <w:kern w:val="0"/>
          <w:lang w:eastAsia="pt-BR" w:bidi="ar-SA"/>
        </w:rPr>
        <w:t xml:space="preserve">cando o recurso voluntário. (TJMG, APCV 1.0024.05.685465-6/002; Rel. Des. </w:t>
      </w:r>
      <w:proofErr w:type="spellStart"/>
      <w:r w:rsidRPr="00670EFE">
        <w:rPr>
          <w:rFonts w:ascii="Garamond" w:eastAsia="Arial Unicode MS" w:hAnsi="Garamond" w:cs="Times New Roman"/>
          <w:color w:val="000000"/>
          <w:kern w:val="0"/>
          <w:lang w:eastAsia="pt-BR" w:bidi="ar-SA"/>
        </w:rPr>
        <w:t>Kildare</w:t>
      </w:r>
      <w:proofErr w:type="spellEnd"/>
      <w:r w:rsidRPr="00670EFE">
        <w:rPr>
          <w:rFonts w:ascii="Garamond" w:eastAsia="Arial Unicode MS" w:hAnsi="Garamond" w:cs="Times New Roman"/>
          <w:color w:val="000000"/>
          <w:kern w:val="0"/>
          <w:lang w:eastAsia="pt-BR" w:bidi="ar-SA"/>
        </w:rPr>
        <w:t xml:space="preserve"> Gonçalves Carvalho, </w:t>
      </w:r>
      <w:proofErr w:type="spellStart"/>
      <w:r w:rsidRPr="00670EFE">
        <w:rPr>
          <w:rFonts w:ascii="Garamond" w:eastAsia="Arial Unicode MS" w:hAnsi="Garamond" w:cs="Times New Roman"/>
          <w:color w:val="000000"/>
          <w:kern w:val="0"/>
          <w:lang w:eastAsia="pt-BR" w:bidi="ar-SA"/>
        </w:rPr>
        <w:t>Julg</w:t>
      </w:r>
      <w:proofErr w:type="spellEnd"/>
      <w:r w:rsidRPr="00670EFE">
        <w:rPr>
          <w:rFonts w:ascii="Garamond" w:eastAsia="Arial Unicode MS" w:hAnsi="Garamond" w:cs="Times New Roman"/>
          <w:color w:val="000000"/>
          <w:kern w:val="0"/>
          <w:lang w:eastAsia="pt-BR" w:bidi="ar-SA"/>
        </w:rPr>
        <w:t>. 20/02/2014; DJEMG 14/03/2014).</w:t>
      </w:r>
    </w:p>
    <w:p w:rsidR="00BE736F" w:rsidRPr="00670EFE" w:rsidRDefault="00BE736F" w:rsidP="00BE736F">
      <w:pPr>
        <w:widowControl/>
        <w:suppressAutoHyphens w:val="0"/>
        <w:autoSpaceDN/>
        <w:spacing w:line="276" w:lineRule="auto"/>
        <w:ind w:firstLine="709"/>
        <w:jc w:val="both"/>
        <w:textAlignment w:val="auto"/>
        <w:rPr>
          <w:rFonts w:ascii="Garamond" w:eastAsia="Arial Unicode MS" w:hAnsi="Garamond" w:cs="Times New Roman"/>
          <w:color w:val="000000"/>
          <w:kern w:val="0"/>
          <w:lang w:eastAsia="pt-BR" w:bidi="ar-SA"/>
        </w:rPr>
      </w:pPr>
    </w:p>
    <w:p w:rsidR="00670EFE" w:rsidRDefault="00670EFE" w:rsidP="00BE736F">
      <w:pPr>
        <w:widowControl/>
        <w:suppressAutoHyphens w:val="0"/>
        <w:autoSpaceDN/>
        <w:spacing w:line="276" w:lineRule="auto"/>
        <w:ind w:firstLine="709"/>
        <w:jc w:val="both"/>
        <w:textAlignment w:val="auto"/>
        <w:rPr>
          <w:rFonts w:ascii="Garamond" w:eastAsia="Times New Roman" w:hAnsi="Garamond" w:cs="Times New Roman"/>
          <w:spacing w:val="-4"/>
          <w:kern w:val="0"/>
          <w:lang w:eastAsia="pt-BR" w:bidi="ar-SA"/>
        </w:rPr>
      </w:pPr>
      <w:r w:rsidRPr="00670EFE">
        <w:rPr>
          <w:rFonts w:ascii="Garamond" w:eastAsia="Times New Roman" w:hAnsi="Garamond" w:cs="Times New Roman"/>
          <w:color w:val="000000"/>
          <w:kern w:val="0"/>
          <w:lang w:eastAsia="pt-BR" w:bidi="ar-SA"/>
        </w:rPr>
        <w:t>Em razão disso, nos valeremos no caso vertente das balizas sancionatórias previstas no</w:t>
      </w:r>
      <w:proofErr w:type="gramStart"/>
      <w:r w:rsidRPr="00670EFE">
        <w:rPr>
          <w:rFonts w:ascii="Garamond" w:eastAsia="Times New Roman" w:hAnsi="Garamond" w:cs="Times New Roman"/>
          <w:kern w:val="0"/>
          <w:lang w:eastAsia="pt-BR" w:bidi="ar-SA"/>
        </w:rPr>
        <w:t xml:space="preserve">  </w:t>
      </w:r>
      <w:proofErr w:type="gramEnd"/>
      <w:r w:rsidRPr="00670EFE">
        <w:rPr>
          <w:rFonts w:ascii="Garamond" w:eastAsia="Times New Roman" w:hAnsi="Garamond" w:cs="Times New Roman"/>
          <w:kern w:val="0"/>
          <w:lang w:eastAsia="pt-BR" w:bidi="ar-SA"/>
        </w:rPr>
        <w:t>Decreto Federal nº 6514, de 22 de julho de 2008, que d</w:t>
      </w:r>
      <w:r w:rsidRPr="00670EFE">
        <w:rPr>
          <w:rFonts w:ascii="Garamond" w:eastAsia="Times New Roman" w:hAnsi="Garamond" w:cs="Times New Roman"/>
          <w:spacing w:val="-4"/>
          <w:kern w:val="0"/>
          <w:lang w:eastAsia="pt-BR" w:bidi="ar-SA"/>
        </w:rPr>
        <w:t>ispõe sobre as infrações e sanções administrativas ao meio ambiente, estabelece o processo administrativo federal para apuração destas infrações, e dá outras providências.</w:t>
      </w:r>
    </w:p>
    <w:p w:rsidR="00BE736F" w:rsidRPr="00670EFE" w:rsidRDefault="00BE736F" w:rsidP="00BE736F">
      <w:pPr>
        <w:widowControl/>
        <w:suppressAutoHyphens w:val="0"/>
        <w:autoSpaceDN/>
        <w:spacing w:line="276" w:lineRule="auto"/>
        <w:ind w:firstLine="709"/>
        <w:jc w:val="both"/>
        <w:textAlignment w:val="auto"/>
        <w:rPr>
          <w:rFonts w:ascii="Garamond" w:eastAsia="Times New Roman" w:hAnsi="Garamond" w:cs="Times New Roman"/>
          <w:spacing w:val="-4"/>
          <w:kern w:val="0"/>
          <w:lang w:eastAsia="pt-BR" w:bidi="ar-SA"/>
        </w:rPr>
      </w:pPr>
    </w:p>
    <w:p w:rsidR="00670EFE" w:rsidRDefault="00670EFE" w:rsidP="00BE736F">
      <w:pPr>
        <w:widowControl/>
        <w:suppressAutoHyphens w:val="0"/>
        <w:autoSpaceDE w:val="0"/>
        <w:adjustRightInd w:val="0"/>
        <w:spacing w:line="276" w:lineRule="auto"/>
        <w:ind w:firstLine="360"/>
        <w:jc w:val="both"/>
        <w:textAlignment w:val="auto"/>
        <w:rPr>
          <w:rFonts w:ascii="Garamond" w:hAnsi="Garamond" w:cs="Times New Roman"/>
          <w:color w:val="000000"/>
          <w:kern w:val="1"/>
          <w:lang w:eastAsia="pt-BR" w:bidi="ar-SA"/>
        </w:rPr>
      </w:pPr>
      <w:r w:rsidRPr="00670EFE">
        <w:rPr>
          <w:rFonts w:ascii="Garamond" w:hAnsi="Garamond" w:cs="Times New Roman"/>
          <w:color w:val="000000"/>
          <w:kern w:val="1"/>
          <w:lang w:eastAsia="pt-BR" w:bidi="ar-SA"/>
        </w:rPr>
        <w:t>Vale lembrar que qualquer estimativa de quantificação de danos ambientais é carregada de incertezas, sendo necessária, quando da valoração, a demonstração clara dos dados util</w:t>
      </w:r>
      <w:r w:rsidRPr="00670EFE">
        <w:rPr>
          <w:rFonts w:ascii="Garamond" w:hAnsi="Garamond" w:cs="Times New Roman"/>
          <w:color w:val="000000"/>
          <w:kern w:val="1"/>
          <w:lang w:eastAsia="pt-BR" w:bidi="ar-SA"/>
        </w:rPr>
        <w:t>i</w:t>
      </w:r>
      <w:r w:rsidRPr="00670EFE">
        <w:rPr>
          <w:rFonts w:ascii="Garamond" w:hAnsi="Garamond" w:cs="Times New Roman"/>
          <w:color w:val="000000"/>
          <w:kern w:val="1"/>
          <w:lang w:eastAsia="pt-BR" w:bidi="ar-SA"/>
        </w:rPr>
        <w:t>zados e sua origem.  Não se deve almejar um valor final incontestável, porquanto imposs</w:t>
      </w:r>
      <w:r w:rsidRPr="00670EFE">
        <w:rPr>
          <w:rFonts w:ascii="Garamond" w:hAnsi="Garamond" w:cs="Times New Roman"/>
          <w:color w:val="000000"/>
          <w:kern w:val="1"/>
          <w:lang w:eastAsia="pt-BR" w:bidi="ar-SA"/>
        </w:rPr>
        <w:t>í</w:t>
      </w:r>
      <w:r w:rsidRPr="00670EFE">
        <w:rPr>
          <w:rFonts w:ascii="Garamond" w:hAnsi="Garamond" w:cs="Times New Roman"/>
          <w:color w:val="000000"/>
          <w:kern w:val="1"/>
          <w:lang w:eastAsia="pt-BR" w:bidi="ar-SA"/>
        </w:rPr>
        <w:t>vel, mas com fundamentos que permitam a sua defesa robusta em juízo</w:t>
      </w:r>
      <w:r w:rsidRPr="00BE736F">
        <w:rPr>
          <w:rFonts w:ascii="Garamond" w:hAnsi="Garamond" w:cs="Times New Roman"/>
          <w:color w:val="000000"/>
          <w:kern w:val="1"/>
          <w:vertAlign w:val="superscript"/>
          <w:lang w:eastAsia="pt-BR" w:bidi="ar-SA"/>
        </w:rPr>
        <w:footnoteReference w:id="15"/>
      </w:r>
      <w:r w:rsidRPr="00670EFE">
        <w:rPr>
          <w:rFonts w:ascii="Garamond" w:hAnsi="Garamond" w:cs="Times New Roman"/>
          <w:color w:val="000000"/>
          <w:kern w:val="1"/>
          <w:lang w:eastAsia="pt-BR" w:bidi="ar-SA"/>
        </w:rPr>
        <w:t>.</w:t>
      </w:r>
    </w:p>
    <w:p w:rsidR="00BE736F" w:rsidRPr="00670EFE" w:rsidRDefault="00BE736F" w:rsidP="00BE736F">
      <w:pPr>
        <w:widowControl/>
        <w:suppressAutoHyphens w:val="0"/>
        <w:autoSpaceDE w:val="0"/>
        <w:adjustRightInd w:val="0"/>
        <w:spacing w:line="276" w:lineRule="auto"/>
        <w:ind w:firstLine="360"/>
        <w:jc w:val="both"/>
        <w:textAlignment w:val="auto"/>
        <w:rPr>
          <w:rFonts w:ascii="Garamond" w:hAnsi="Garamond" w:cs="Times New Roman"/>
          <w:color w:val="000000"/>
          <w:kern w:val="1"/>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spacing w:val="-4"/>
          <w:kern w:val="0"/>
          <w:lang w:eastAsia="pt-BR" w:bidi="ar-SA"/>
        </w:rPr>
      </w:pPr>
      <w:r w:rsidRPr="00670EFE">
        <w:rPr>
          <w:rFonts w:ascii="Garamond" w:eastAsia="Times New Roman" w:hAnsi="Garamond" w:cs="Times New Roman"/>
          <w:spacing w:val="-4"/>
          <w:kern w:val="0"/>
          <w:lang w:eastAsia="pt-BR" w:bidi="ar-SA"/>
        </w:rPr>
        <w:t>Segundo o citado Decreto:</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spacing w:val="-4"/>
          <w:kern w:val="0"/>
          <w:lang w:eastAsia="pt-BR" w:bidi="ar-SA"/>
        </w:rPr>
      </w:pP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 xml:space="preserve"> Art. 2º - Considera-se infração administrativa ambiental, toda ação ou omi</w:t>
      </w:r>
      <w:r w:rsidRPr="00670EFE">
        <w:rPr>
          <w:rFonts w:ascii="Garamond" w:eastAsia="Times New Roman" w:hAnsi="Garamond" w:cs="Times New Roman"/>
          <w:spacing w:val="-4"/>
          <w:kern w:val="0"/>
          <w:sz w:val="22"/>
          <w:szCs w:val="22"/>
          <w:lang w:eastAsia="pt-BR" w:bidi="ar-SA"/>
        </w:rPr>
        <w:t>s</w:t>
      </w:r>
      <w:r w:rsidRPr="00670EFE">
        <w:rPr>
          <w:rFonts w:ascii="Garamond" w:eastAsia="Times New Roman" w:hAnsi="Garamond" w:cs="Times New Roman"/>
          <w:spacing w:val="-4"/>
          <w:kern w:val="0"/>
          <w:sz w:val="22"/>
          <w:szCs w:val="22"/>
          <w:lang w:eastAsia="pt-BR" w:bidi="ar-SA"/>
        </w:rPr>
        <w:t>são que viole as regras jurídicas de uso, gozo, promoção, proteção e recup</w:t>
      </w:r>
      <w:r w:rsidRPr="00670EFE">
        <w:rPr>
          <w:rFonts w:ascii="Garamond" w:eastAsia="Times New Roman" w:hAnsi="Garamond" w:cs="Times New Roman"/>
          <w:spacing w:val="-4"/>
          <w:kern w:val="0"/>
          <w:sz w:val="22"/>
          <w:szCs w:val="22"/>
          <w:lang w:eastAsia="pt-BR" w:bidi="ar-SA"/>
        </w:rPr>
        <w:t>e</w:t>
      </w:r>
      <w:r w:rsidRPr="00670EFE">
        <w:rPr>
          <w:rFonts w:ascii="Garamond" w:eastAsia="Times New Roman" w:hAnsi="Garamond" w:cs="Times New Roman"/>
          <w:spacing w:val="-4"/>
          <w:kern w:val="0"/>
          <w:sz w:val="22"/>
          <w:szCs w:val="22"/>
          <w:lang w:eastAsia="pt-BR" w:bidi="ar-SA"/>
        </w:rPr>
        <w:t>ração do meio ambiente.</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 xml:space="preserve">Art.3º - As infrações administrativas são punidas com as seguintes sanções: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 xml:space="preserve">I – advertência,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 xml:space="preserve">II – multa simples,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 xml:space="preserve">III – multa diária (...)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spacing w:val="-4"/>
          <w:kern w:val="0"/>
          <w:sz w:val="22"/>
          <w:szCs w:val="22"/>
          <w:lang w:eastAsia="pt-BR" w:bidi="ar-SA"/>
        </w:rPr>
      </w:pPr>
      <w:r w:rsidRPr="00670EFE">
        <w:rPr>
          <w:rFonts w:ascii="Garamond" w:eastAsia="Times New Roman" w:hAnsi="Garamond" w:cs="Times New Roman"/>
          <w:spacing w:val="-4"/>
          <w:kern w:val="0"/>
          <w:sz w:val="22"/>
          <w:szCs w:val="22"/>
          <w:lang w:eastAsia="pt-BR" w:bidi="ar-SA"/>
        </w:rPr>
        <w:t>VIII – demolição de obra.</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kern w:val="0"/>
          <w:sz w:val="22"/>
          <w:szCs w:val="22"/>
          <w:lang w:eastAsia="pt-BR" w:bidi="ar-SA"/>
        </w:rPr>
      </w:pPr>
      <w:r w:rsidRPr="00670EFE">
        <w:rPr>
          <w:rFonts w:ascii="Garamond" w:eastAsia="Times New Roman" w:hAnsi="Garamond" w:cs="Times New Roman"/>
          <w:kern w:val="0"/>
          <w:sz w:val="22"/>
          <w:szCs w:val="22"/>
          <w:lang w:eastAsia="pt-BR" w:bidi="ar-SA"/>
        </w:rPr>
        <w:t>Art. 4º - A aplicação das sanções administrativas deverá observar os s</w:t>
      </w:r>
      <w:r w:rsidRPr="00670EFE">
        <w:rPr>
          <w:rFonts w:ascii="Garamond" w:eastAsia="Times New Roman" w:hAnsi="Garamond" w:cs="Times New Roman"/>
          <w:kern w:val="0"/>
          <w:sz w:val="22"/>
          <w:szCs w:val="22"/>
          <w:lang w:eastAsia="pt-BR" w:bidi="ar-SA"/>
        </w:rPr>
        <w:t>e</w:t>
      </w:r>
      <w:r w:rsidRPr="00670EFE">
        <w:rPr>
          <w:rFonts w:ascii="Garamond" w:eastAsia="Times New Roman" w:hAnsi="Garamond" w:cs="Times New Roman"/>
          <w:kern w:val="0"/>
          <w:sz w:val="22"/>
          <w:szCs w:val="22"/>
          <w:lang w:eastAsia="pt-BR" w:bidi="ar-SA"/>
        </w:rPr>
        <w:t xml:space="preserve">guintes critérios: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kern w:val="0"/>
          <w:sz w:val="22"/>
          <w:szCs w:val="22"/>
          <w:lang w:eastAsia="pt-BR" w:bidi="ar-SA"/>
        </w:rPr>
      </w:pPr>
      <w:r w:rsidRPr="00670EFE">
        <w:rPr>
          <w:rFonts w:ascii="Garamond" w:eastAsia="Times New Roman" w:hAnsi="Garamond" w:cs="Times New Roman"/>
          <w:kern w:val="0"/>
          <w:sz w:val="22"/>
          <w:szCs w:val="22"/>
          <w:lang w:eastAsia="pt-BR" w:bidi="ar-SA"/>
        </w:rPr>
        <w:lastRenderedPageBreak/>
        <w:t xml:space="preserve">I – gravidade dos fatos, tendo em vista os motivos da infração e suas </w:t>
      </w:r>
      <w:proofErr w:type="spellStart"/>
      <w:r w:rsidRPr="00670EFE">
        <w:rPr>
          <w:rFonts w:ascii="Garamond" w:eastAsia="Times New Roman" w:hAnsi="Garamond" w:cs="Times New Roman"/>
          <w:kern w:val="0"/>
          <w:sz w:val="22"/>
          <w:szCs w:val="22"/>
          <w:lang w:eastAsia="pt-BR" w:bidi="ar-SA"/>
        </w:rPr>
        <w:t>conseqüências</w:t>
      </w:r>
      <w:proofErr w:type="spellEnd"/>
      <w:r w:rsidRPr="00670EFE">
        <w:rPr>
          <w:rFonts w:ascii="Garamond" w:eastAsia="Times New Roman" w:hAnsi="Garamond" w:cs="Times New Roman"/>
          <w:kern w:val="0"/>
          <w:sz w:val="22"/>
          <w:szCs w:val="22"/>
          <w:lang w:eastAsia="pt-BR" w:bidi="ar-SA"/>
        </w:rPr>
        <w:t xml:space="preserve"> para a saúde pública e para o meio ambiente; </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kern w:val="0"/>
          <w:sz w:val="22"/>
          <w:szCs w:val="22"/>
          <w:lang w:eastAsia="pt-BR" w:bidi="ar-SA"/>
        </w:rPr>
      </w:pPr>
      <w:r w:rsidRPr="00670EFE">
        <w:rPr>
          <w:rFonts w:ascii="Garamond" w:eastAsia="Times New Roman" w:hAnsi="Garamond" w:cs="Times New Roman"/>
          <w:kern w:val="0"/>
          <w:sz w:val="22"/>
          <w:szCs w:val="22"/>
          <w:lang w:eastAsia="pt-BR" w:bidi="ar-SA"/>
        </w:rPr>
        <w:t>II – antecedentes do infrator, quanto ao cumprimento da legislação a</w:t>
      </w:r>
      <w:r w:rsidRPr="00670EFE">
        <w:rPr>
          <w:rFonts w:ascii="Garamond" w:eastAsia="Times New Roman" w:hAnsi="Garamond" w:cs="Times New Roman"/>
          <w:kern w:val="0"/>
          <w:sz w:val="22"/>
          <w:szCs w:val="22"/>
          <w:lang w:eastAsia="pt-BR" w:bidi="ar-SA"/>
        </w:rPr>
        <w:t>m</w:t>
      </w:r>
      <w:r w:rsidRPr="00670EFE">
        <w:rPr>
          <w:rFonts w:ascii="Garamond" w:eastAsia="Times New Roman" w:hAnsi="Garamond" w:cs="Times New Roman"/>
          <w:kern w:val="0"/>
          <w:sz w:val="22"/>
          <w:szCs w:val="22"/>
          <w:lang w:eastAsia="pt-BR" w:bidi="ar-SA"/>
        </w:rPr>
        <w:t>biental e III – situação econômica do infrator.</w:t>
      </w:r>
    </w:p>
    <w:p w:rsidR="00670EFE" w:rsidRPr="00670EFE" w:rsidRDefault="00670EFE" w:rsidP="00BE736F">
      <w:pPr>
        <w:widowControl/>
        <w:suppressAutoHyphens w:val="0"/>
        <w:autoSpaceDN/>
        <w:spacing w:line="276" w:lineRule="auto"/>
        <w:ind w:left="2280"/>
        <w:jc w:val="both"/>
        <w:textAlignment w:val="auto"/>
        <w:rPr>
          <w:rFonts w:ascii="Garamond" w:eastAsia="Times New Roman" w:hAnsi="Garamond" w:cs="Times New Roman"/>
          <w:color w:val="000000"/>
          <w:kern w:val="0"/>
          <w:sz w:val="22"/>
          <w:szCs w:val="22"/>
          <w:lang w:eastAsia="pt-BR" w:bidi="ar-SA"/>
        </w:rPr>
      </w:pPr>
      <w:r w:rsidRPr="00670EFE">
        <w:rPr>
          <w:rFonts w:ascii="Garamond" w:eastAsia="Times New Roman" w:hAnsi="Garamond" w:cs="Times New Roman"/>
          <w:color w:val="000000"/>
          <w:kern w:val="0"/>
          <w:sz w:val="22"/>
          <w:szCs w:val="22"/>
          <w:lang w:eastAsia="pt-BR" w:bidi="ar-SA"/>
        </w:rPr>
        <w:t>Art. 9</w:t>
      </w:r>
      <w:r w:rsidRPr="00670EFE">
        <w:rPr>
          <w:rFonts w:ascii="Garamond" w:eastAsia="Times New Roman" w:hAnsi="Garamond" w:cs="Times New Roman"/>
          <w:color w:val="000000"/>
          <w:kern w:val="0"/>
          <w:sz w:val="22"/>
          <w:szCs w:val="22"/>
          <w:u w:val="single"/>
          <w:vertAlign w:val="superscript"/>
          <w:lang w:eastAsia="pt-BR" w:bidi="ar-SA"/>
        </w:rPr>
        <w:t>o</w:t>
      </w:r>
      <w:r w:rsidRPr="00670EFE">
        <w:rPr>
          <w:rFonts w:ascii="Garamond" w:eastAsia="Times New Roman" w:hAnsi="Garamond" w:cs="Times New Roman"/>
          <w:color w:val="000000"/>
          <w:kern w:val="0"/>
          <w:sz w:val="22"/>
          <w:szCs w:val="22"/>
          <w:lang w:eastAsia="pt-BR" w:bidi="ar-SA"/>
        </w:rPr>
        <w:t>  O valor da multa de que trata este Decreto será corrigido, peri</w:t>
      </w:r>
      <w:r w:rsidRPr="00670EFE">
        <w:rPr>
          <w:rFonts w:ascii="Garamond" w:eastAsia="Times New Roman" w:hAnsi="Garamond" w:cs="Times New Roman"/>
          <w:color w:val="000000"/>
          <w:kern w:val="0"/>
          <w:sz w:val="22"/>
          <w:szCs w:val="22"/>
          <w:lang w:eastAsia="pt-BR" w:bidi="ar-SA"/>
        </w:rPr>
        <w:t>o</w:t>
      </w:r>
      <w:r w:rsidRPr="00670EFE">
        <w:rPr>
          <w:rFonts w:ascii="Garamond" w:eastAsia="Times New Roman" w:hAnsi="Garamond" w:cs="Times New Roman"/>
          <w:color w:val="000000"/>
          <w:kern w:val="0"/>
          <w:sz w:val="22"/>
          <w:szCs w:val="22"/>
          <w:lang w:eastAsia="pt-BR" w:bidi="ar-SA"/>
        </w:rPr>
        <w:t>dicamente, com base nos índices estabelecidos na legislação pertinente, sendo o mínimo de R$ 50,00 (</w:t>
      </w:r>
      <w:proofErr w:type="spellStart"/>
      <w:r w:rsidRPr="00670EFE">
        <w:rPr>
          <w:rFonts w:ascii="Garamond" w:eastAsia="Times New Roman" w:hAnsi="Garamond" w:cs="Times New Roman"/>
          <w:color w:val="000000"/>
          <w:kern w:val="0"/>
          <w:sz w:val="22"/>
          <w:szCs w:val="22"/>
          <w:lang w:eastAsia="pt-BR" w:bidi="ar-SA"/>
        </w:rPr>
        <w:t>cinqüenta</w:t>
      </w:r>
      <w:proofErr w:type="spellEnd"/>
      <w:r w:rsidRPr="00670EFE">
        <w:rPr>
          <w:rFonts w:ascii="Garamond" w:eastAsia="Times New Roman" w:hAnsi="Garamond" w:cs="Times New Roman"/>
          <w:color w:val="000000"/>
          <w:kern w:val="0"/>
          <w:sz w:val="22"/>
          <w:szCs w:val="22"/>
          <w:lang w:eastAsia="pt-BR" w:bidi="ar-SA"/>
        </w:rPr>
        <w:t xml:space="preserve"> reais) e o máximo de R$ 50.000.000,00 (</w:t>
      </w:r>
      <w:proofErr w:type="spellStart"/>
      <w:r w:rsidRPr="00670EFE">
        <w:rPr>
          <w:rFonts w:ascii="Garamond" w:eastAsia="Times New Roman" w:hAnsi="Garamond" w:cs="Times New Roman"/>
          <w:color w:val="000000"/>
          <w:kern w:val="0"/>
          <w:sz w:val="22"/>
          <w:szCs w:val="22"/>
          <w:lang w:eastAsia="pt-BR" w:bidi="ar-SA"/>
        </w:rPr>
        <w:t>cinqüenta</w:t>
      </w:r>
      <w:proofErr w:type="spellEnd"/>
      <w:r w:rsidRPr="00670EFE">
        <w:rPr>
          <w:rFonts w:ascii="Garamond" w:eastAsia="Times New Roman" w:hAnsi="Garamond" w:cs="Times New Roman"/>
          <w:color w:val="000000"/>
          <w:kern w:val="0"/>
          <w:sz w:val="22"/>
          <w:szCs w:val="22"/>
          <w:lang w:eastAsia="pt-BR" w:bidi="ar-SA"/>
        </w:rPr>
        <w:t xml:space="preserve"> milhões de reais). </w:t>
      </w:r>
    </w:p>
    <w:p w:rsidR="00670EFE" w:rsidRPr="00670EFE" w:rsidRDefault="00670EFE" w:rsidP="00BE736F">
      <w:pPr>
        <w:widowControl/>
        <w:shd w:val="clear" w:color="auto" w:fill="FFFFFF"/>
        <w:suppressAutoHyphens w:val="0"/>
        <w:autoSpaceDN/>
        <w:spacing w:line="276" w:lineRule="auto"/>
        <w:ind w:left="2280"/>
        <w:jc w:val="both"/>
        <w:textAlignment w:val="auto"/>
        <w:rPr>
          <w:rFonts w:ascii="Garamond" w:eastAsia="Arial Unicode MS" w:hAnsi="Garamond" w:cs="Times New Roman"/>
          <w:kern w:val="0"/>
          <w:sz w:val="22"/>
          <w:szCs w:val="22"/>
          <w:lang w:eastAsia="pt-BR" w:bidi="ar-SA"/>
        </w:rPr>
      </w:pPr>
      <w:r w:rsidRPr="00670EFE">
        <w:rPr>
          <w:rFonts w:ascii="Garamond" w:eastAsia="Arial Unicode MS" w:hAnsi="Garamond" w:cs="Times New Roman"/>
          <w:kern w:val="0"/>
          <w:sz w:val="22"/>
          <w:szCs w:val="22"/>
          <w:lang w:eastAsia="pt-BR" w:bidi="ar-SA"/>
        </w:rPr>
        <w:t>Subseção IV - Das Infrações Contra o Ordenamento Urbano e o Patr</w:t>
      </w:r>
      <w:r w:rsidRPr="00670EFE">
        <w:rPr>
          <w:rFonts w:ascii="Garamond" w:eastAsia="Arial Unicode MS" w:hAnsi="Garamond" w:cs="Times New Roman"/>
          <w:kern w:val="0"/>
          <w:sz w:val="22"/>
          <w:szCs w:val="22"/>
          <w:lang w:eastAsia="pt-BR" w:bidi="ar-SA"/>
        </w:rPr>
        <w:t>i</w:t>
      </w:r>
      <w:r w:rsidRPr="00670EFE">
        <w:rPr>
          <w:rFonts w:ascii="Garamond" w:eastAsia="Arial Unicode MS" w:hAnsi="Garamond" w:cs="Times New Roman"/>
          <w:kern w:val="0"/>
          <w:sz w:val="22"/>
          <w:szCs w:val="22"/>
          <w:lang w:eastAsia="pt-BR" w:bidi="ar-SA"/>
        </w:rPr>
        <w:t xml:space="preserve">mônio Cultural </w:t>
      </w:r>
    </w:p>
    <w:p w:rsidR="00670EFE" w:rsidRPr="00BE736F" w:rsidRDefault="00670EFE" w:rsidP="00BE736F">
      <w:pPr>
        <w:widowControl/>
        <w:shd w:val="clear" w:color="auto" w:fill="FFFFFF"/>
        <w:suppressAutoHyphens w:val="0"/>
        <w:autoSpaceDN/>
        <w:spacing w:line="276" w:lineRule="auto"/>
        <w:ind w:left="2280"/>
        <w:jc w:val="both"/>
        <w:textAlignment w:val="auto"/>
        <w:rPr>
          <w:rFonts w:ascii="Garamond" w:eastAsia="Arial Unicode MS" w:hAnsi="Garamond" w:cs="Times New Roman"/>
          <w:kern w:val="0"/>
          <w:sz w:val="22"/>
          <w:szCs w:val="22"/>
          <w:lang w:eastAsia="pt-BR" w:bidi="ar-SA"/>
        </w:rPr>
      </w:pPr>
      <w:r w:rsidRPr="00BE736F">
        <w:rPr>
          <w:rFonts w:ascii="Garamond" w:eastAsia="Arial Unicode MS" w:hAnsi="Garamond" w:cs="Times New Roman"/>
          <w:kern w:val="0"/>
          <w:sz w:val="22"/>
          <w:szCs w:val="22"/>
          <w:lang w:eastAsia="pt-BR" w:bidi="ar-SA"/>
        </w:rPr>
        <w:t>(...)</w:t>
      </w:r>
    </w:p>
    <w:p w:rsidR="00670EFE" w:rsidRPr="00670EFE" w:rsidRDefault="00670EFE" w:rsidP="00BE736F">
      <w:pPr>
        <w:widowControl/>
        <w:suppressAutoHyphens w:val="0"/>
        <w:autoSpaceDN/>
        <w:spacing w:line="276" w:lineRule="auto"/>
        <w:ind w:left="2280"/>
        <w:textAlignment w:val="auto"/>
        <w:rPr>
          <w:rFonts w:ascii="Garamond" w:eastAsia="Arial Unicode MS" w:hAnsi="Garamond" w:cs="Times New Roman"/>
          <w:kern w:val="0"/>
          <w:sz w:val="22"/>
          <w:szCs w:val="22"/>
          <w:lang w:eastAsia="pt-BR" w:bidi="ar-SA"/>
        </w:rPr>
      </w:pPr>
      <w:r w:rsidRPr="00670EFE">
        <w:rPr>
          <w:rFonts w:ascii="Garamond" w:eastAsia="Arial Unicode MS" w:hAnsi="Garamond" w:cs="Times New Roman"/>
          <w:color w:val="000000"/>
          <w:kern w:val="0"/>
          <w:sz w:val="22"/>
          <w:szCs w:val="22"/>
          <w:lang w:eastAsia="pt-BR" w:bidi="ar-SA"/>
        </w:rPr>
        <w:t>Art. 72.  Destruir, inutilizar ou deteriorar:</w:t>
      </w:r>
    </w:p>
    <w:p w:rsidR="00670EFE" w:rsidRPr="00670EFE" w:rsidRDefault="00670EFE" w:rsidP="00BE736F">
      <w:pPr>
        <w:widowControl/>
        <w:suppressAutoHyphens w:val="0"/>
        <w:autoSpaceDN/>
        <w:spacing w:line="276" w:lineRule="auto"/>
        <w:ind w:left="2280"/>
        <w:jc w:val="both"/>
        <w:textAlignment w:val="auto"/>
        <w:rPr>
          <w:rFonts w:ascii="Garamond" w:eastAsia="Arial Unicode MS" w:hAnsi="Garamond" w:cs="Times New Roman"/>
          <w:kern w:val="0"/>
          <w:sz w:val="22"/>
          <w:szCs w:val="22"/>
          <w:lang w:eastAsia="pt-BR" w:bidi="ar-SA"/>
        </w:rPr>
      </w:pPr>
      <w:r w:rsidRPr="00670EFE">
        <w:rPr>
          <w:rFonts w:ascii="Garamond" w:eastAsia="Arial Unicode MS" w:hAnsi="Garamond" w:cs="Times New Roman"/>
          <w:color w:val="000000"/>
          <w:kern w:val="0"/>
          <w:sz w:val="22"/>
          <w:szCs w:val="22"/>
          <w:lang w:eastAsia="pt-BR" w:bidi="ar-SA"/>
        </w:rPr>
        <w:t xml:space="preserve">I - bem especialmente protegido por lei, ato administrativo ou decisão judicial; </w:t>
      </w:r>
      <w:proofErr w:type="gramStart"/>
      <w:r w:rsidRPr="00670EFE">
        <w:rPr>
          <w:rFonts w:ascii="Garamond" w:eastAsia="Arial Unicode MS" w:hAnsi="Garamond" w:cs="Times New Roman"/>
          <w:color w:val="000000"/>
          <w:kern w:val="0"/>
          <w:sz w:val="22"/>
          <w:szCs w:val="22"/>
          <w:lang w:eastAsia="pt-BR" w:bidi="ar-SA"/>
        </w:rPr>
        <w:t>ou</w:t>
      </w:r>
      <w:proofErr w:type="gramEnd"/>
      <w:r w:rsidRPr="00670EFE">
        <w:rPr>
          <w:rFonts w:ascii="Garamond" w:eastAsia="Arial Unicode MS" w:hAnsi="Garamond" w:cs="Times New Roman"/>
          <w:color w:val="000000"/>
          <w:kern w:val="0"/>
          <w:sz w:val="22"/>
          <w:szCs w:val="22"/>
          <w:lang w:eastAsia="pt-BR" w:bidi="ar-SA"/>
        </w:rPr>
        <w:t xml:space="preserve"> </w:t>
      </w:r>
    </w:p>
    <w:p w:rsidR="00670EFE" w:rsidRPr="00670EFE" w:rsidRDefault="00670EFE" w:rsidP="00BE736F">
      <w:pPr>
        <w:widowControl/>
        <w:suppressAutoHyphens w:val="0"/>
        <w:autoSpaceDN/>
        <w:spacing w:line="276" w:lineRule="auto"/>
        <w:ind w:left="2280"/>
        <w:jc w:val="both"/>
        <w:textAlignment w:val="auto"/>
        <w:rPr>
          <w:rFonts w:ascii="Garamond" w:eastAsia="Arial Unicode MS" w:hAnsi="Garamond" w:cs="Times New Roman"/>
          <w:kern w:val="0"/>
          <w:sz w:val="22"/>
          <w:szCs w:val="22"/>
          <w:lang w:eastAsia="pt-BR" w:bidi="ar-SA"/>
        </w:rPr>
      </w:pPr>
      <w:r w:rsidRPr="00670EFE">
        <w:rPr>
          <w:rFonts w:ascii="Garamond" w:eastAsia="Arial Unicode MS" w:hAnsi="Garamond" w:cs="Times New Roman"/>
          <w:color w:val="000000"/>
          <w:kern w:val="0"/>
          <w:sz w:val="22"/>
          <w:szCs w:val="22"/>
          <w:lang w:eastAsia="pt-BR" w:bidi="ar-SA"/>
        </w:rPr>
        <w:t>II - arquivo, registro, museu, biblioteca, pinacoteca, instalação científica ou similar protegido por lei, ato administrativo ou decisão judicial:</w:t>
      </w:r>
    </w:p>
    <w:p w:rsidR="00670EFE" w:rsidRPr="00670EFE" w:rsidRDefault="00670EFE" w:rsidP="00BE736F">
      <w:pPr>
        <w:widowControl/>
        <w:suppressAutoHyphens w:val="0"/>
        <w:autoSpaceDN/>
        <w:spacing w:line="276" w:lineRule="auto"/>
        <w:ind w:left="2280"/>
        <w:jc w:val="both"/>
        <w:textAlignment w:val="auto"/>
        <w:rPr>
          <w:rFonts w:ascii="Garamond" w:eastAsia="Arial Unicode MS" w:hAnsi="Garamond" w:cs="Arial"/>
          <w:kern w:val="0"/>
          <w:sz w:val="22"/>
          <w:szCs w:val="22"/>
          <w:lang w:eastAsia="pt-BR" w:bidi="ar-SA"/>
        </w:rPr>
      </w:pPr>
      <w:r w:rsidRPr="00670EFE">
        <w:rPr>
          <w:rFonts w:ascii="Garamond" w:eastAsia="Arial Unicode MS" w:hAnsi="Garamond" w:cs="Times New Roman"/>
          <w:color w:val="000000"/>
          <w:kern w:val="0"/>
          <w:sz w:val="22"/>
          <w:szCs w:val="22"/>
          <w:lang w:eastAsia="pt-BR" w:bidi="ar-SA"/>
        </w:rPr>
        <w:t>Multa de R$ 10.000,00 (dez mil reais) a R$ 500.000,00 (quinhentos mil reais</w:t>
      </w:r>
      <w:proofErr w:type="gramStart"/>
      <w:r w:rsidRPr="00670EFE">
        <w:rPr>
          <w:rFonts w:ascii="Garamond" w:eastAsia="Arial Unicode MS" w:hAnsi="Garamond" w:cs="Times New Roman"/>
          <w:color w:val="000000"/>
          <w:kern w:val="0"/>
          <w:sz w:val="22"/>
          <w:szCs w:val="22"/>
          <w:lang w:eastAsia="pt-BR" w:bidi="ar-SA"/>
        </w:rPr>
        <w:t>).</w:t>
      </w:r>
      <w:proofErr w:type="gramEnd"/>
      <w:r w:rsidRPr="00670EFE">
        <w:rPr>
          <w:rFonts w:ascii="Garamond" w:eastAsia="Arial Unicode MS" w:hAnsi="Garamond" w:cs="Times New Roman"/>
          <w:color w:val="000000"/>
          <w:kern w:val="0"/>
          <w:sz w:val="22"/>
          <w:szCs w:val="22"/>
          <w:lang w:eastAsia="pt-BR" w:bidi="ar-SA"/>
        </w:rPr>
        <w:t>”</w:t>
      </w:r>
      <w:r w:rsidRPr="00670EFE">
        <w:rPr>
          <w:rFonts w:ascii="Garamond" w:eastAsia="Arial Unicode MS" w:hAnsi="Garamond" w:cs="Arial"/>
          <w:color w:val="000000"/>
          <w:kern w:val="0"/>
          <w:sz w:val="22"/>
          <w:szCs w:val="22"/>
          <w:lang w:eastAsia="pt-BR" w:bidi="ar-SA"/>
        </w:rPr>
        <w:t> </w:t>
      </w:r>
    </w:p>
    <w:p w:rsidR="00670EFE" w:rsidRPr="00670EFE" w:rsidRDefault="00670EFE" w:rsidP="00BE736F">
      <w:pPr>
        <w:widowControl/>
        <w:shd w:val="clear" w:color="auto" w:fill="FFFFFF"/>
        <w:suppressAutoHyphens w:val="0"/>
        <w:autoSpaceDN/>
        <w:spacing w:line="276" w:lineRule="auto"/>
        <w:ind w:left="2280"/>
        <w:jc w:val="both"/>
        <w:textAlignment w:val="auto"/>
        <w:rPr>
          <w:rFonts w:ascii="Garamond" w:eastAsia="Arial Unicode MS" w:hAnsi="Garamond" w:cs="Times New Roman"/>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Também foi utilizada a metodologia da Condephaat</w:t>
      </w:r>
      <w:r w:rsidRPr="00BE736F">
        <w:rPr>
          <w:rFonts w:ascii="Garamond" w:eastAsia="Times New Roman" w:hAnsi="Garamond" w:cs="Times New Roman"/>
          <w:kern w:val="0"/>
          <w:vertAlign w:val="superscript"/>
          <w:lang w:eastAsia="pt-BR" w:bidi="ar-SA"/>
        </w:rPr>
        <w:footnoteReference w:id="16"/>
      </w:r>
      <w:r w:rsidRPr="00670EFE">
        <w:rPr>
          <w:rFonts w:ascii="Garamond" w:eastAsia="Times New Roman" w:hAnsi="Garamond" w:cs="Times New Roman"/>
          <w:kern w:val="0"/>
          <w:lang w:eastAsia="pt-BR" w:bidi="ar-SA"/>
        </w:rPr>
        <w:t xml:space="preserve"> para definir os parâmetros util</w:t>
      </w:r>
      <w:r w:rsidRPr="00670EFE">
        <w:rPr>
          <w:rFonts w:ascii="Garamond" w:eastAsia="Times New Roman" w:hAnsi="Garamond" w:cs="Times New Roman"/>
          <w:kern w:val="0"/>
          <w:lang w:eastAsia="pt-BR" w:bidi="ar-SA"/>
        </w:rPr>
        <w:t>i</w:t>
      </w:r>
      <w:r w:rsidRPr="00670EFE">
        <w:rPr>
          <w:rFonts w:ascii="Garamond" w:eastAsia="Times New Roman" w:hAnsi="Garamond" w:cs="Times New Roman"/>
          <w:kern w:val="0"/>
          <w:lang w:eastAsia="pt-BR" w:bidi="ar-SA"/>
        </w:rPr>
        <w:t>zados para a valoração da lesão, considerando o tipo de bem que foi atingido e que tipo de dano foi causado a este bem.</w:t>
      </w: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b/>
          <w:bCs/>
          <w:kern w:val="0"/>
          <w:lang w:eastAsia="pt-BR" w:bidi="ar-SA"/>
        </w:rPr>
        <w:t>A - QUANTO À GRAVIDADE DOS FATOS</w:t>
      </w:r>
      <w:r w:rsidRPr="00670EFE">
        <w:rPr>
          <w:rFonts w:ascii="Garamond" w:eastAsia="Times New Roman" w:hAnsi="Garamond" w:cs="Times New Roman"/>
          <w:kern w:val="0"/>
          <w:lang w:eastAsia="pt-BR" w:bidi="ar-SA"/>
        </w:rPr>
        <w:t>, conforme inciso I do artigo 4º do Decreto 6514 de 22 de julho de 2008, consideramos como parâmetros:</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I – Tipo de proteção: refere-se ao tipo de proteção administrativa sob o qual o bem se encontra atualmente tutelado. </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Pr="00670EFE" w:rsidRDefault="00670EFE" w:rsidP="00BE736F">
      <w:pPr>
        <w:widowControl/>
        <w:numPr>
          <w:ilvl w:val="0"/>
          <w:numId w:val="16"/>
        </w:numPr>
        <w:suppressAutoHyphens w:val="0"/>
        <w:autoSpaceDN/>
        <w:spacing w:line="276" w:lineRule="auto"/>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Para o bem tombado, considera-se uma infração gravíssima – 1,0 ponto; </w:t>
      </w:r>
    </w:p>
    <w:p w:rsidR="00670EFE" w:rsidRPr="00670EFE" w:rsidRDefault="00670EFE" w:rsidP="00BE736F">
      <w:pPr>
        <w:widowControl/>
        <w:numPr>
          <w:ilvl w:val="0"/>
          <w:numId w:val="16"/>
        </w:numPr>
        <w:suppressAutoHyphens w:val="0"/>
        <w:autoSpaceDN/>
        <w:spacing w:line="276" w:lineRule="auto"/>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Para o bem em processo de tombamento considera-se infração grave – 0,8 ponto; </w:t>
      </w:r>
    </w:p>
    <w:p w:rsidR="00670EFE" w:rsidRPr="00670EFE" w:rsidRDefault="00670EFE" w:rsidP="00BE736F">
      <w:pPr>
        <w:widowControl/>
        <w:numPr>
          <w:ilvl w:val="0"/>
          <w:numId w:val="16"/>
        </w:numPr>
        <w:suppressAutoHyphens w:val="0"/>
        <w:autoSpaceDN/>
        <w:spacing w:line="276" w:lineRule="auto"/>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Para o bem protegido através Lei de Uso e Ocupação do Solo – infração média alta – 0,6 ponto;</w:t>
      </w:r>
    </w:p>
    <w:p w:rsidR="00670EFE" w:rsidRPr="00670EFE" w:rsidRDefault="00670EFE" w:rsidP="00BE736F">
      <w:pPr>
        <w:widowControl/>
        <w:numPr>
          <w:ilvl w:val="0"/>
          <w:numId w:val="16"/>
        </w:numPr>
        <w:suppressAutoHyphens w:val="0"/>
        <w:autoSpaceDN/>
        <w:spacing w:line="276" w:lineRule="auto"/>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kern w:val="0"/>
          <w:lang w:eastAsia="pt-BR" w:bidi="ar-SA"/>
        </w:rPr>
        <w:t>Para infração em área de entorno de bem tombado, considera-se infração média baixa – 0,4 ponto;</w:t>
      </w:r>
    </w:p>
    <w:p w:rsidR="00670EFE" w:rsidRPr="00BE736F" w:rsidRDefault="00670EFE" w:rsidP="00BE736F">
      <w:pPr>
        <w:widowControl/>
        <w:numPr>
          <w:ilvl w:val="0"/>
          <w:numId w:val="16"/>
        </w:numPr>
        <w:suppressAutoHyphens w:val="0"/>
        <w:autoSpaceDN/>
        <w:spacing w:line="276" w:lineRule="auto"/>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kern w:val="0"/>
          <w:lang w:eastAsia="pt-BR" w:bidi="ar-SA"/>
        </w:rPr>
        <w:t>Para bem inventariado, cadastrado ou passível de preservação, considera-se infr</w:t>
      </w:r>
      <w:r w:rsidRPr="00670EFE">
        <w:rPr>
          <w:rFonts w:ascii="Garamond" w:eastAsia="Times New Roman" w:hAnsi="Garamond" w:cs="Times New Roman"/>
          <w:kern w:val="0"/>
          <w:lang w:eastAsia="pt-BR" w:bidi="ar-SA"/>
        </w:rPr>
        <w:t>a</w:t>
      </w:r>
      <w:r w:rsidRPr="00670EFE">
        <w:rPr>
          <w:rFonts w:ascii="Garamond" w:eastAsia="Times New Roman" w:hAnsi="Garamond" w:cs="Times New Roman"/>
          <w:kern w:val="0"/>
          <w:lang w:eastAsia="pt-BR" w:bidi="ar-SA"/>
        </w:rPr>
        <w:t>ção leve – 0,2 ponto.</w:t>
      </w:r>
    </w:p>
    <w:p w:rsidR="00BE736F" w:rsidRPr="00670EFE" w:rsidRDefault="00BE736F" w:rsidP="00BE736F">
      <w:pPr>
        <w:widowControl/>
        <w:suppressAutoHyphens w:val="0"/>
        <w:autoSpaceDN/>
        <w:spacing w:line="276" w:lineRule="auto"/>
        <w:ind w:left="720"/>
        <w:jc w:val="both"/>
        <w:textAlignment w:val="auto"/>
        <w:rPr>
          <w:rFonts w:ascii="Garamond" w:eastAsia="Times New Roman" w:hAnsi="Garamond" w:cs="Times New Roman"/>
          <w:b/>
          <w:bCs/>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Para o caso em questão, utilizaremos a letra</w:t>
      </w:r>
      <w:r w:rsidR="00BE736F">
        <w:rPr>
          <w:rFonts w:ascii="Garamond" w:eastAsia="Times New Roman" w:hAnsi="Garamond" w:cs="Times New Roman"/>
          <w:b/>
          <w:bCs/>
          <w:kern w:val="0"/>
          <w:lang w:eastAsia="pt-BR" w:bidi="ar-SA"/>
        </w:rPr>
        <w:t xml:space="preserve"> d) infração leve; pois o prédio do Hospital foi inventariado pelo município</w:t>
      </w:r>
      <w:r w:rsidRPr="00670EFE">
        <w:rPr>
          <w:rFonts w:ascii="Garamond" w:eastAsia="Times New Roman" w:hAnsi="Garamond" w:cs="Times New Roman"/>
          <w:b/>
          <w:bCs/>
          <w:kern w:val="0"/>
          <w:lang w:eastAsia="pt-BR" w:bidi="ar-SA"/>
        </w:rPr>
        <w:t>, totalizando 0,2 ponto.</w:t>
      </w:r>
    </w:p>
    <w:p w:rsidR="00BE736F"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II – Dano causado ao </w:t>
      </w:r>
      <w:proofErr w:type="gramStart"/>
      <w:r w:rsidRPr="00670EFE">
        <w:rPr>
          <w:rFonts w:ascii="Garamond" w:eastAsia="Times New Roman" w:hAnsi="Garamond" w:cs="Times New Roman"/>
          <w:kern w:val="0"/>
          <w:lang w:eastAsia="pt-BR" w:bidi="ar-SA"/>
        </w:rPr>
        <w:t>bem :</w:t>
      </w:r>
      <w:proofErr w:type="gramEnd"/>
      <w:r w:rsidRPr="00670EFE">
        <w:rPr>
          <w:rFonts w:ascii="Garamond" w:eastAsia="Times New Roman" w:hAnsi="Garamond" w:cs="Times New Roman"/>
          <w:kern w:val="0"/>
          <w:lang w:eastAsia="pt-BR" w:bidi="ar-SA"/>
        </w:rPr>
        <w:t xml:space="preserve"> refere-se à gravidade do dano e à interferência gerada no bem protegido. </w:t>
      </w:r>
    </w:p>
    <w:p w:rsidR="00670EFE" w:rsidRPr="00670EFE" w:rsidRDefault="00670EFE" w:rsidP="00BE736F">
      <w:pPr>
        <w:widowControl/>
        <w:numPr>
          <w:ilvl w:val="0"/>
          <w:numId w:val="17"/>
        </w:numPr>
        <w:suppressAutoHyphens w:val="0"/>
        <w:autoSpaceDN/>
        <w:spacing w:line="276" w:lineRule="auto"/>
        <w:jc w:val="both"/>
        <w:textAlignment w:val="auto"/>
        <w:rPr>
          <w:rFonts w:ascii="Garamond" w:eastAsia="Times New Roman" w:hAnsi="Garamond" w:cs="Times New Roman"/>
          <w:bCs/>
          <w:kern w:val="0"/>
          <w:lang w:eastAsia="pt-BR" w:bidi="ar-SA"/>
        </w:rPr>
      </w:pPr>
      <w:proofErr w:type="gramStart"/>
      <w:r w:rsidRPr="00670EFE">
        <w:rPr>
          <w:rFonts w:ascii="Garamond" w:eastAsia="Times New Roman" w:hAnsi="Garamond" w:cs="Times New Roman"/>
          <w:bCs/>
          <w:kern w:val="0"/>
          <w:lang w:eastAsia="pt-BR" w:bidi="ar-SA"/>
        </w:rPr>
        <w:t>severo</w:t>
      </w:r>
      <w:proofErr w:type="gramEnd"/>
      <w:r w:rsidRPr="00670EFE">
        <w:rPr>
          <w:rFonts w:ascii="Garamond" w:eastAsia="Times New Roman" w:hAnsi="Garamond" w:cs="Times New Roman"/>
          <w:bCs/>
          <w:kern w:val="0"/>
          <w:lang w:eastAsia="pt-BR" w:bidi="ar-SA"/>
        </w:rPr>
        <w:t xml:space="preserve"> - demolição integral do bem – 2 pontos.</w:t>
      </w:r>
    </w:p>
    <w:p w:rsidR="00670EFE" w:rsidRPr="00670EFE" w:rsidRDefault="00670EFE" w:rsidP="00BE736F">
      <w:pPr>
        <w:widowControl/>
        <w:numPr>
          <w:ilvl w:val="0"/>
          <w:numId w:val="17"/>
        </w:numPr>
        <w:suppressAutoHyphens w:val="0"/>
        <w:autoSpaceDN/>
        <w:spacing w:line="276" w:lineRule="auto"/>
        <w:jc w:val="both"/>
        <w:textAlignment w:val="auto"/>
        <w:rPr>
          <w:rFonts w:ascii="Garamond" w:eastAsia="Times New Roman" w:hAnsi="Garamond" w:cs="Times New Roman"/>
          <w:kern w:val="0"/>
          <w:lang w:eastAsia="pt-BR" w:bidi="ar-SA"/>
        </w:rPr>
      </w:pPr>
      <w:proofErr w:type="gramStart"/>
      <w:r w:rsidRPr="00670EFE">
        <w:rPr>
          <w:rFonts w:ascii="Garamond" w:eastAsia="Times New Roman" w:hAnsi="Garamond" w:cs="Times New Roman"/>
          <w:bCs/>
          <w:iCs/>
          <w:kern w:val="0"/>
          <w:lang w:eastAsia="pt-BR" w:bidi="ar-SA"/>
        </w:rPr>
        <w:t>grande</w:t>
      </w:r>
      <w:proofErr w:type="gramEnd"/>
      <w:r w:rsidRPr="00670EFE">
        <w:rPr>
          <w:rFonts w:ascii="Garamond" w:eastAsia="Times New Roman" w:hAnsi="Garamond" w:cs="Times New Roman"/>
          <w:bCs/>
          <w:iCs/>
          <w:kern w:val="0"/>
          <w:lang w:eastAsia="pt-BR" w:bidi="ar-SA"/>
        </w:rPr>
        <w:tab/>
        <w:t xml:space="preserve"> - alteração da área ocupada/construída ou da volumetria – 1,5 pontos.</w:t>
      </w:r>
    </w:p>
    <w:p w:rsidR="00670EFE" w:rsidRPr="00670EFE" w:rsidRDefault="00670EFE" w:rsidP="00BE736F">
      <w:pPr>
        <w:widowControl/>
        <w:numPr>
          <w:ilvl w:val="0"/>
          <w:numId w:val="17"/>
        </w:numPr>
        <w:suppressAutoHyphens w:val="0"/>
        <w:autoSpaceDN/>
        <w:spacing w:line="276" w:lineRule="auto"/>
        <w:jc w:val="both"/>
        <w:textAlignment w:val="auto"/>
        <w:rPr>
          <w:rFonts w:ascii="Garamond" w:eastAsia="Times New Roman" w:hAnsi="Garamond" w:cs="Times New Roman"/>
          <w:kern w:val="0"/>
          <w:lang w:eastAsia="pt-BR" w:bidi="ar-SA"/>
        </w:rPr>
      </w:pPr>
      <w:proofErr w:type="gramStart"/>
      <w:r w:rsidRPr="00670EFE">
        <w:rPr>
          <w:rFonts w:ascii="Garamond" w:eastAsia="Times New Roman" w:hAnsi="Garamond" w:cs="Times New Roman"/>
          <w:bCs/>
          <w:iCs/>
          <w:kern w:val="0"/>
          <w:lang w:eastAsia="pt-BR" w:bidi="ar-SA"/>
        </w:rPr>
        <w:t>médio</w:t>
      </w:r>
      <w:proofErr w:type="gramEnd"/>
      <w:r w:rsidRPr="00670EFE">
        <w:rPr>
          <w:rFonts w:ascii="Garamond" w:eastAsia="Times New Roman" w:hAnsi="Garamond" w:cs="Times New Roman"/>
          <w:bCs/>
          <w:iCs/>
          <w:kern w:val="0"/>
          <w:lang w:eastAsia="pt-BR" w:bidi="ar-SA"/>
        </w:rPr>
        <w:tab/>
        <w:t>- intervenções como, por exemplo, alteração de esquadrias externas (portas e janelas),</w:t>
      </w:r>
      <w:r w:rsidRPr="00670EFE">
        <w:rPr>
          <w:rFonts w:ascii="Garamond" w:eastAsia="Times New Roman" w:hAnsi="Garamond" w:cs="Times New Roman"/>
          <w:kern w:val="0"/>
          <w:lang w:eastAsia="pt-BR" w:bidi="ar-SA"/>
        </w:rPr>
        <w:t xml:space="preserve"> no que se refere a materiais e vãos; alteração da cobertura, no que se r</w:t>
      </w:r>
      <w:r w:rsidRPr="00670EFE">
        <w:rPr>
          <w:rFonts w:ascii="Garamond" w:eastAsia="Times New Roman" w:hAnsi="Garamond" w:cs="Times New Roman"/>
          <w:kern w:val="0"/>
          <w:lang w:eastAsia="pt-BR" w:bidi="ar-SA"/>
        </w:rPr>
        <w:t>e</w:t>
      </w:r>
      <w:r w:rsidRPr="00670EFE">
        <w:rPr>
          <w:rFonts w:ascii="Garamond" w:eastAsia="Times New Roman" w:hAnsi="Garamond" w:cs="Times New Roman"/>
          <w:kern w:val="0"/>
          <w:lang w:eastAsia="pt-BR" w:bidi="ar-SA"/>
        </w:rPr>
        <w:t>fere a materiais ou à forma; alteração dos espaços internos através da construção e/ou supressão de elementos divisórios fixos – 1 ponto.</w:t>
      </w:r>
    </w:p>
    <w:p w:rsidR="00670EFE" w:rsidRDefault="00670EFE" w:rsidP="00BE736F">
      <w:pPr>
        <w:widowControl/>
        <w:numPr>
          <w:ilvl w:val="0"/>
          <w:numId w:val="17"/>
        </w:numPr>
        <w:suppressAutoHyphens w:val="0"/>
        <w:autoSpaceDN/>
        <w:spacing w:line="276" w:lineRule="auto"/>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bCs/>
          <w:iCs/>
          <w:kern w:val="0"/>
          <w:lang w:eastAsia="pt-BR" w:bidi="ar-SA"/>
        </w:rPr>
        <w:t>Pequeno – pequenas intervenções como, por exemplo, alteração das folhas das po</w:t>
      </w:r>
      <w:r w:rsidRPr="00670EFE">
        <w:rPr>
          <w:rFonts w:ascii="Garamond" w:eastAsia="Times New Roman" w:hAnsi="Garamond" w:cs="Times New Roman"/>
          <w:bCs/>
          <w:iCs/>
          <w:kern w:val="0"/>
          <w:lang w:eastAsia="pt-BR" w:bidi="ar-SA"/>
        </w:rPr>
        <w:t>r</w:t>
      </w:r>
      <w:r w:rsidRPr="00670EFE">
        <w:rPr>
          <w:rFonts w:ascii="Garamond" w:eastAsia="Times New Roman" w:hAnsi="Garamond" w:cs="Times New Roman"/>
          <w:bCs/>
          <w:iCs/>
          <w:kern w:val="0"/>
          <w:lang w:eastAsia="pt-BR" w:bidi="ar-SA"/>
        </w:rPr>
        <w:t>tas</w:t>
      </w:r>
      <w:r w:rsidRPr="00670EFE">
        <w:rPr>
          <w:rFonts w:ascii="Garamond" w:eastAsia="Times New Roman" w:hAnsi="Garamond" w:cs="Times New Roman"/>
          <w:kern w:val="0"/>
          <w:lang w:eastAsia="pt-BR" w:bidi="ar-SA"/>
        </w:rPr>
        <w:t xml:space="preserve"> internas sem alteração dos vãos correspondentes; alteração</w:t>
      </w:r>
      <w:r w:rsidRPr="00670EFE">
        <w:rPr>
          <w:rFonts w:ascii="Garamond" w:eastAsia="Times New Roman" w:hAnsi="Garamond" w:cs="Times New Roman"/>
          <w:b/>
          <w:kern w:val="0"/>
          <w:lang w:eastAsia="pt-BR" w:bidi="ar-SA"/>
        </w:rPr>
        <w:t xml:space="preserve"> </w:t>
      </w:r>
      <w:r w:rsidRPr="00670EFE">
        <w:rPr>
          <w:rFonts w:ascii="Garamond" w:eastAsia="Times New Roman" w:hAnsi="Garamond" w:cs="Times New Roman"/>
          <w:kern w:val="0"/>
          <w:lang w:eastAsia="pt-BR" w:bidi="ar-SA"/>
        </w:rPr>
        <w:t>dos materiais de r</w:t>
      </w:r>
      <w:r w:rsidRPr="00670EFE">
        <w:rPr>
          <w:rFonts w:ascii="Garamond" w:eastAsia="Times New Roman" w:hAnsi="Garamond" w:cs="Times New Roman"/>
          <w:kern w:val="0"/>
          <w:lang w:eastAsia="pt-BR" w:bidi="ar-SA"/>
        </w:rPr>
        <w:t>e</w:t>
      </w:r>
      <w:r w:rsidRPr="00670EFE">
        <w:rPr>
          <w:rFonts w:ascii="Garamond" w:eastAsia="Times New Roman" w:hAnsi="Garamond" w:cs="Times New Roman"/>
          <w:kern w:val="0"/>
          <w:lang w:eastAsia="pt-BR" w:bidi="ar-SA"/>
        </w:rPr>
        <w:t>vestimento interno ou externo (pisos, paredes, forros, etc.); alteração do aspecto cromático dos diversos elementos que compõem a construção – 0,5 pontos.</w:t>
      </w:r>
    </w:p>
    <w:p w:rsidR="00BE736F" w:rsidRPr="00670EFE" w:rsidRDefault="00BE736F" w:rsidP="00BE736F">
      <w:pPr>
        <w:widowControl/>
        <w:suppressAutoHyphens w:val="0"/>
        <w:autoSpaceDN/>
        <w:spacing w:line="276" w:lineRule="auto"/>
        <w:ind w:left="720"/>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 xml:space="preserve">Para o caso em questão, utilizaremos a letra b) dano grande, pois </w:t>
      </w:r>
      <w:r w:rsidR="00BE736F">
        <w:rPr>
          <w:rFonts w:ascii="Garamond" w:eastAsia="Times New Roman" w:hAnsi="Garamond" w:cs="Times New Roman"/>
          <w:b/>
          <w:bCs/>
          <w:kern w:val="0"/>
          <w:lang w:eastAsia="pt-BR" w:bidi="ar-SA"/>
        </w:rPr>
        <w:t>com a realiz</w:t>
      </w:r>
      <w:r w:rsidR="00BE736F">
        <w:rPr>
          <w:rFonts w:ascii="Garamond" w:eastAsia="Times New Roman" w:hAnsi="Garamond" w:cs="Times New Roman"/>
          <w:b/>
          <w:bCs/>
          <w:kern w:val="0"/>
          <w:lang w:eastAsia="pt-BR" w:bidi="ar-SA"/>
        </w:rPr>
        <w:t>a</w:t>
      </w:r>
      <w:r w:rsidR="00BE736F">
        <w:rPr>
          <w:rFonts w:ascii="Garamond" w:eastAsia="Times New Roman" w:hAnsi="Garamond" w:cs="Times New Roman"/>
          <w:b/>
          <w:bCs/>
          <w:kern w:val="0"/>
          <w:lang w:eastAsia="pt-BR" w:bidi="ar-SA"/>
        </w:rPr>
        <w:t xml:space="preserve">ção das intervenções após o inventário, sem autorização dos órgãos competentes, </w:t>
      </w:r>
      <w:r w:rsidRPr="00670EFE">
        <w:rPr>
          <w:rFonts w:ascii="Garamond" w:eastAsia="Times New Roman" w:hAnsi="Garamond" w:cs="Times New Roman"/>
          <w:b/>
          <w:bCs/>
          <w:kern w:val="0"/>
          <w:lang w:eastAsia="pt-BR" w:bidi="ar-SA"/>
        </w:rPr>
        <w:t>houve alteração da área ocupada ou da volumetria, totalizando 1,5 pontos.</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III – Causa do dano: este item busca registrar a identificação do motivo do dano, pelo seu efeito e características.</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Cs/>
          <w:iCs/>
          <w:kern w:val="0"/>
          <w:lang w:eastAsia="pt-BR" w:bidi="ar-SA"/>
        </w:rPr>
      </w:pPr>
      <w:r w:rsidRPr="00670EFE">
        <w:rPr>
          <w:rFonts w:ascii="Garamond" w:eastAsia="Times New Roman" w:hAnsi="Garamond" w:cs="Times New Roman"/>
          <w:bCs/>
          <w:iCs/>
          <w:kern w:val="0"/>
          <w:lang w:eastAsia="pt-BR" w:bidi="ar-SA"/>
        </w:rPr>
        <w:t>a) por ação - caracteriza-se por ato e atitude, dolosa ou culposa, que provoquem, direta ou indiretamente, a lesão ao bem – 1 ponto.</w:t>
      </w: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Cs/>
          <w:iCs/>
          <w:kern w:val="0"/>
          <w:lang w:eastAsia="pt-BR" w:bidi="ar-SA"/>
        </w:rPr>
      </w:pPr>
      <w:r w:rsidRPr="00670EFE">
        <w:rPr>
          <w:rFonts w:ascii="Garamond" w:eastAsia="Times New Roman" w:hAnsi="Garamond" w:cs="Times New Roman"/>
          <w:bCs/>
          <w:iCs/>
          <w:kern w:val="0"/>
          <w:lang w:eastAsia="pt-BR" w:bidi="ar-SA"/>
        </w:rPr>
        <w:t>b) por omissão - caracteriza-se por ato e atividade que deixam de praticar o devido, acarretando dano ao bem, quer por ausência de comunicação do proprietário público ou privado à administração, quer pela ausência de ação dos órgãos responsáveis – 0,5 ponto.</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bCs/>
          <w:iCs/>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Para o caso em questão, utilizaremos a letra b), totalizando 0,5 ponto.</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IV - Potencial de recuperação: este item refere-se à possibilidade técnica de recuperar o bem lesado, de forma a resgatar as características que determinaram sua preservação.</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a) Nulo - quando inexistir a possibilidade de recuperação do bem lesado – 1 ponto.</w:t>
      </w:r>
    </w:p>
    <w:p w:rsidR="00F71757"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b)</w:t>
      </w:r>
      <w:r w:rsidR="00F71757">
        <w:rPr>
          <w:rFonts w:ascii="Garamond" w:eastAsia="Times New Roman" w:hAnsi="Garamond" w:cs="Times New Roman"/>
          <w:kern w:val="0"/>
          <w:lang w:eastAsia="pt-BR" w:bidi="ar-SA"/>
        </w:rPr>
        <w:t xml:space="preserve"> Parcial – quando a recuperação for possível, de forma parcial – 0,6 ponto.</w:t>
      </w:r>
    </w:p>
    <w:p w:rsidR="00670EFE" w:rsidRDefault="00F71757"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Pr>
          <w:rFonts w:ascii="Garamond" w:eastAsia="Times New Roman" w:hAnsi="Garamond" w:cs="Times New Roman"/>
          <w:kern w:val="0"/>
          <w:lang w:eastAsia="pt-BR" w:bidi="ar-SA"/>
        </w:rPr>
        <w:t xml:space="preserve">c) </w:t>
      </w:r>
      <w:r w:rsidR="00670EFE" w:rsidRPr="00670EFE">
        <w:rPr>
          <w:rFonts w:ascii="Garamond" w:eastAsia="Times New Roman" w:hAnsi="Garamond" w:cs="Times New Roman"/>
          <w:kern w:val="0"/>
          <w:lang w:eastAsia="pt-BR" w:bidi="ar-SA"/>
        </w:rPr>
        <w:t xml:space="preserve">Integral - quando a recuperação do bem for </w:t>
      </w:r>
      <w:proofErr w:type="gramStart"/>
      <w:r w:rsidR="00670EFE" w:rsidRPr="00670EFE">
        <w:rPr>
          <w:rFonts w:ascii="Garamond" w:eastAsia="Times New Roman" w:hAnsi="Garamond" w:cs="Times New Roman"/>
          <w:kern w:val="0"/>
          <w:lang w:eastAsia="pt-BR" w:bidi="ar-SA"/>
        </w:rPr>
        <w:t>possível de forma total – 0,2</w:t>
      </w:r>
      <w:proofErr w:type="gramEnd"/>
      <w:r w:rsidR="00670EFE" w:rsidRPr="00670EFE">
        <w:rPr>
          <w:rFonts w:ascii="Garamond" w:eastAsia="Times New Roman" w:hAnsi="Garamond" w:cs="Times New Roman"/>
          <w:kern w:val="0"/>
          <w:lang w:eastAsia="pt-BR" w:bidi="ar-SA"/>
        </w:rPr>
        <w:t xml:space="preserve"> ponto.</w:t>
      </w:r>
    </w:p>
    <w:p w:rsidR="00BE736F" w:rsidRPr="00670EFE" w:rsidRDefault="00BE736F"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Para o caso em questão, utilizaremo</w:t>
      </w:r>
      <w:r w:rsidR="00BE736F">
        <w:rPr>
          <w:rFonts w:ascii="Garamond" w:eastAsia="Times New Roman" w:hAnsi="Garamond" w:cs="Times New Roman"/>
          <w:b/>
          <w:bCs/>
          <w:kern w:val="0"/>
          <w:lang w:eastAsia="pt-BR" w:bidi="ar-SA"/>
        </w:rPr>
        <w:t xml:space="preserve">s a letra </w:t>
      </w:r>
      <w:r w:rsidR="00F71757">
        <w:rPr>
          <w:rFonts w:ascii="Garamond" w:eastAsia="Times New Roman" w:hAnsi="Garamond" w:cs="Times New Roman"/>
          <w:b/>
          <w:bCs/>
          <w:kern w:val="0"/>
          <w:lang w:eastAsia="pt-BR" w:bidi="ar-SA"/>
        </w:rPr>
        <w:t>b</w:t>
      </w:r>
      <w:r w:rsidR="00BE736F">
        <w:rPr>
          <w:rFonts w:ascii="Garamond" w:eastAsia="Times New Roman" w:hAnsi="Garamond" w:cs="Times New Roman"/>
          <w:b/>
          <w:bCs/>
          <w:kern w:val="0"/>
          <w:lang w:eastAsia="pt-BR" w:bidi="ar-SA"/>
        </w:rPr>
        <w:t xml:space="preserve">) </w:t>
      </w:r>
      <w:r w:rsidR="00F71757">
        <w:rPr>
          <w:rFonts w:ascii="Garamond" w:eastAsia="Times New Roman" w:hAnsi="Garamond" w:cs="Times New Roman"/>
          <w:b/>
          <w:bCs/>
          <w:kern w:val="0"/>
          <w:lang w:eastAsia="pt-BR" w:bidi="ar-SA"/>
        </w:rPr>
        <w:t>parcial</w:t>
      </w:r>
      <w:r w:rsidR="00BE736F">
        <w:rPr>
          <w:rFonts w:ascii="Garamond" w:eastAsia="Times New Roman" w:hAnsi="Garamond" w:cs="Times New Roman"/>
          <w:b/>
          <w:bCs/>
          <w:kern w:val="0"/>
          <w:lang w:eastAsia="pt-BR" w:bidi="ar-SA"/>
        </w:rPr>
        <w:t>, pois somente se recup</w:t>
      </w:r>
      <w:r w:rsidR="00BE736F">
        <w:rPr>
          <w:rFonts w:ascii="Garamond" w:eastAsia="Times New Roman" w:hAnsi="Garamond" w:cs="Times New Roman"/>
          <w:b/>
          <w:bCs/>
          <w:kern w:val="0"/>
          <w:lang w:eastAsia="pt-BR" w:bidi="ar-SA"/>
        </w:rPr>
        <w:t>e</w:t>
      </w:r>
      <w:r w:rsidR="00BE736F">
        <w:rPr>
          <w:rFonts w:ascii="Garamond" w:eastAsia="Times New Roman" w:hAnsi="Garamond" w:cs="Times New Roman"/>
          <w:b/>
          <w:bCs/>
          <w:kern w:val="0"/>
          <w:lang w:eastAsia="pt-BR" w:bidi="ar-SA"/>
        </w:rPr>
        <w:t>raria as características originais da fachada se fosse demolido o acréscimo existente na lateral esquerda, sobre o estacionamento, o que não ocorrer</w:t>
      </w:r>
      <w:r w:rsidR="00F71757">
        <w:rPr>
          <w:rFonts w:ascii="Garamond" w:eastAsia="Times New Roman" w:hAnsi="Garamond" w:cs="Times New Roman"/>
          <w:b/>
          <w:bCs/>
          <w:kern w:val="0"/>
          <w:lang w:eastAsia="pt-BR" w:bidi="ar-SA"/>
        </w:rPr>
        <w:t>á</w:t>
      </w:r>
      <w:r w:rsidRPr="00670EFE">
        <w:rPr>
          <w:rFonts w:ascii="Garamond" w:eastAsia="Times New Roman" w:hAnsi="Garamond" w:cs="Times New Roman"/>
          <w:b/>
          <w:bCs/>
          <w:kern w:val="0"/>
          <w:lang w:eastAsia="pt-BR" w:bidi="ar-SA"/>
        </w:rPr>
        <w:t>, totalizando 0,</w:t>
      </w:r>
      <w:r w:rsidR="00F71757">
        <w:rPr>
          <w:rFonts w:ascii="Garamond" w:eastAsia="Times New Roman" w:hAnsi="Garamond" w:cs="Times New Roman"/>
          <w:b/>
          <w:bCs/>
          <w:kern w:val="0"/>
          <w:lang w:eastAsia="pt-BR" w:bidi="ar-SA"/>
        </w:rPr>
        <w:t>6</w:t>
      </w:r>
      <w:r w:rsidRPr="00670EFE">
        <w:rPr>
          <w:rFonts w:ascii="Garamond" w:eastAsia="Times New Roman" w:hAnsi="Garamond" w:cs="Times New Roman"/>
          <w:b/>
          <w:bCs/>
          <w:kern w:val="0"/>
          <w:lang w:eastAsia="pt-BR" w:bidi="ar-SA"/>
        </w:rPr>
        <w:t xml:space="preserve"> ponto.</w:t>
      </w:r>
    </w:p>
    <w:p w:rsidR="00F71757" w:rsidRPr="00670EFE" w:rsidRDefault="00F71757" w:rsidP="00BE736F">
      <w:pPr>
        <w:widowControl/>
        <w:suppressAutoHyphens w:val="0"/>
        <w:autoSpaceDN/>
        <w:spacing w:line="276" w:lineRule="auto"/>
        <w:ind w:firstLine="360"/>
        <w:jc w:val="both"/>
        <w:textAlignment w:val="auto"/>
        <w:rPr>
          <w:rFonts w:ascii="Garamond" w:eastAsia="Times New Roman" w:hAnsi="Garamond" w:cs="Times New Roman"/>
          <w:b/>
          <w:bCs/>
          <w:kern w:val="0"/>
          <w:lang w:eastAsia="pt-BR" w:bidi="ar-SA"/>
        </w:rPr>
      </w:pPr>
    </w:p>
    <w:p w:rsidR="00670EFE" w:rsidRPr="00670EFE" w:rsidRDefault="00670EFE" w:rsidP="00BE736F">
      <w:pPr>
        <w:widowControl/>
        <w:suppressAutoHyphens w:val="0"/>
        <w:autoSpaceDN/>
        <w:spacing w:line="276" w:lineRule="auto"/>
        <w:ind w:firstLine="360"/>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lastRenderedPageBreak/>
        <w:t>V - E</w:t>
      </w:r>
      <w:r w:rsidRPr="00670EFE">
        <w:rPr>
          <w:rFonts w:ascii="Garamond" w:eastAsia="Times New Roman" w:hAnsi="Garamond" w:cs="Times New Roman"/>
          <w:iCs/>
          <w:kern w:val="0"/>
          <w:lang w:eastAsia="pt-BR" w:bidi="ar-SA"/>
        </w:rPr>
        <w:t>feitos</w:t>
      </w:r>
      <w:r w:rsidRPr="00670EFE">
        <w:rPr>
          <w:rFonts w:ascii="Garamond" w:eastAsia="Times New Roman" w:hAnsi="Garamond" w:cs="Times New Roman"/>
          <w:bCs/>
          <w:iCs/>
          <w:kern w:val="0"/>
          <w:lang w:eastAsia="pt-BR" w:bidi="ar-SA"/>
        </w:rPr>
        <w:t xml:space="preserve"> adversos decorrentes</w:t>
      </w:r>
      <w:r w:rsidRPr="00670EFE">
        <w:rPr>
          <w:rFonts w:ascii="Garamond" w:eastAsia="Times New Roman" w:hAnsi="Garamond" w:cs="Times New Roman"/>
          <w:b/>
          <w:i/>
          <w:kern w:val="0"/>
          <w:lang w:eastAsia="pt-BR" w:bidi="ar-SA"/>
        </w:rPr>
        <w:t>:</w:t>
      </w:r>
      <w:r w:rsidRPr="00670EFE">
        <w:rPr>
          <w:rFonts w:ascii="Garamond" w:eastAsia="Times New Roman" w:hAnsi="Garamond" w:cs="Times New Roman"/>
          <w:kern w:val="0"/>
          <w:lang w:eastAsia="pt-BR" w:bidi="ar-SA"/>
        </w:rPr>
        <w:t xml:space="preserve"> este item procura registrar reflexos negativos, nas at</w:t>
      </w:r>
      <w:r w:rsidRPr="00670EFE">
        <w:rPr>
          <w:rFonts w:ascii="Garamond" w:eastAsia="Times New Roman" w:hAnsi="Garamond" w:cs="Times New Roman"/>
          <w:kern w:val="0"/>
          <w:lang w:eastAsia="pt-BR" w:bidi="ar-SA"/>
        </w:rPr>
        <w:t>i</w:t>
      </w:r>
      <w:r w:rsidRPr="00670EFE">
        <w:rPr>
          <w:rFonts w:ascii="Garamond" w:eastAsia="Times New Roman" w:hAnsi="Garamond" w:cs="Times New Roman"/>
          <w:kern w:val="0"/>
          <w:lang w:eastAsia="pt-BR" w:bidi="ar-SA"/>
        </w:rPr>
        <w:t>vidades e processos abaixo considerados, decorrentes da lesão verificada. Aqui, a pontu</w:t>
      </w:r>
      <w:r w:rsidRPr="00670EFE">
        <w:rPr>
          <w:rFonts w:ascii="Garamond" w:eastAsia="Times New Roman" w:hAnsi="Garamond" w:cs="Times New Roman"/>
          <w:kern w:val="0"/>
          <w:lang w:eastAsia="pt-BR" w:bidi="ar-SA"/>
        </w:rPr>
        <w:t>a</w:t>
      </w:r>
      <w:r w:rsidRPr="00670EFE">
        <w:rPr>
          <w:rFonts w:ascii="Garamond" w:eastAsia="Times New Roman" w:hAnsi="Garamond" w:cs="Times New Roman"/>
          <w:kern w:val="0"/>
          <w:lang w:eastAsia="pt-BR" w:bidi="ar-SA"/>
        </w:rPr>
        <w:t xml:space="preserve">ção pode ser cumulativa, computando-se, no mínimo, o valor atribuído ao </w:t>
      </w:r>
      <w:proofErr w:type="spellStart"/>
      <w:r w:rsidRPr="00670EFE">
        <w:rPr>
          <w:rFonts w:ascii="Garamond" w:eastAsia="Times New Roman" w:hAnsi="Garamond" w:cs="Times New Roman"/>
          <w:kern w:val="0"/>
          <w:lang w:eastAsia="pt-BR" w:bidi="ar-SA"/>
        </w:rPr>
        <w:t>sub-item</w:t>
      </w:r>
      <w:proofErr w:type="spellEnd"/>
      <w:r w:rsidRPr="00670EFE">
        <w:rPr>
          <w:rFonts w:ascii="Garamond" w:eastAsia="Times New Roman" w:hAnsi="Garamond" w:cs="Times New Roman"/>
          <w:kern w:val="0"/>
          <w:lang w:eastAsia="pt-BR" w:bidi="ar-SA"/>
        </w:rPr>
        <w:t xml:space="preserve"> </w:t>
      </w:r>
      <w:r w:rsidRPr="00670EFE">
        <w:rPr>
          <w:rFonts w:ascii="Garamond" w:eastAsia="Times New Roman" w:hAnsi="Garamond" w:cs="Times New Roman"/>
          <w:b/>
          <w:i/>
          <w:kern w:val="0"/>
          <w:lang w:eastAsia="pt-BR" w:bidi="ar-SA"/>
        </w:rPr>
        <w:t>"e"</w:t>
      </w:r>
      <w:r w:rsidRPr="00670EFE">
        <w:rPr>
          <w:rFonts w:ascii="Garamond" w:eastAsia="Times New Roman" w:hAnsi="Garamond" w:cs="Times New Roman"/>
          <w:kern w:val="0"/>
          <w:lang w:eastAsia="pt-BR" w:bidi="ar-SA"/>
        </w:rPr>
        <w:t>, pois sempre estará presente o prejuízo à pesquisa. Para cada item é considerado 0,5 ponto.</w:t>
      </w: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r w:rsidRPr="00670EFE">
        <w:rPr>
          <w:rFonts w:ascii="Garamond" w:eastAsia="Times New Roman" w:hAnsi="Garamond" w:cs="Times New Roman"/>
          <w:bCs/>
          <w:kern w:val="0"/>
          <w:lang w:eastAsia="pt-BR" w:bidi="ar-SA"/>
        </w:rPr>
        <w:t xml:space="preserve">a) </w:t>
      </w:r>
      <w:r w:rsidRPr="00670EFE">
        <w:rPr>
          <w:rFonts w:ascii="Garamond" w:eastAsia="Times New Roman" w:hAnsi="Garamond" w:cs="Times New Roman"/>
          <w:bCs/>
          <w:i/>
          <w:kern w:val="0"/>
          <w:lang w:eastAsia="pt-BR" w:bidi="ar-SA"/>
        </w:rPr>
        <w:t xml:space="preserve">alteração de atividades de lazer </w:t>
      </w:r>
      <w:r w:rsidRPr="00670EFE">
        <w:rPr>
          <w:rFonts w:ascii="Garamond" w:eastAsia="Times New Roman" w:hAnsi="Garamond" w:cs="Times New Roman"/>
          <w:bCs/>
          <w:kern w:val="0"/>
          <w:lang w:eastAsia="pt-BR" w:bidi="ar-SA"/>
        </w:rPr>
        <w:t>- redução ou impedimento do exercício coletivo ou individual das atividades de lazer relativas ao esporte, turismo e recreação.</w:t>
      </w: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r w:rsidRPr="00670EFE">
        <w:rPr>
          <w:rFonts w:ascii="Garamond" w:eastAsia="Times New Roman" w:hAnsi="Garamond" w:cs="Times New Roman"/>
          <w:bCs/>
          <w:kern w:val="0"/>
          <w:lang w:eastAsia="pt-BR" w:bidi="ar-SA"/>
        </w:rPr>
        <w:t xml:space="preserve">b) </w:t>
      </w:r>
      <w:r w:rsidRPr="00670EFE">
        <w:rPr>
          <w:rFonts w:ascii="Garamond" w:eastAsia="Times New Roman" w:hAnsi="Garamond" w:cs="Times New Roman"/>
          <w:bCs/>
          <w:i/>
          <w:kern w:val="0"/>
          <w:lang w:eastAsia="pt-BR" w:bidi="ar-SA"/>
        </w:rPr>
        <w:t>alteração de atividades econômicas</w:t>
      </w:r>
      <w:r w:rsidRPr="00670EFE">
        <w:rPr>
          <w:rFonts w:ascii="Garamond" w:eastAsia="Times New Roman" w:hAnsi="Garamond" w:cs="Times New Roman"/>
          <w:bCs/>
          <w:kern w:val="0"/>
          <w:lang w:eastAsia="pt-BR" w:bidi="ar-SA"/>
        </w:rPr>
        <w:t xml:space="preserve"> - perda ou redução de atividades econômicas rel</w:t>
      </w:r>
      <w:r w:rsidRPr="00670EFE">
        <w:rPr>
          <w:rFonts w:ascii="Garamond" w:eastAsia="Times New Roman" w:hAnsi="Garamond" w:cs="Times New Roman"/>
          <w:bCs/>
          <w:kern w:val="0"/>
          <w:lang w:eastAsia="pt-BR" w:bidi="ar-SA"/>
        </w:rPr>
        <w:t>a</w:t>
      </w:r>
      <w:r w:rsidRPr="00670EFE">
        <w:rPr>
          <w:rFonts w:ascii="Garamond" w:eastAsia="Times New Roman" w:hAnsi="Garamond" w:cs="Times New Roman"/>
          <w:bCs/>
          <w:kern w:val="0"/>
          <w:lang w:eastAsia="pt-BR" w:bidi="ar-SA"/>
        </w:rPr>
        <w:t>cionadas ao bem lesado, nelas inclusas, dentre outras, a rede hoteleira e a prestação de se</w:t>
      </w:r>
      <w:r w:rsidRPr="00670EFE">
        <w:rPr>
          <w:rFonts w:ascii="Garamond" w:eastAsia="Times New Roman" w:hAnsi="Garamond" w:cs="Times New Roman"/>
          <w:bCs/>
          <w:kern w:val="0"/>
          <w:lang w:eastAsia="pt-BR" w:bidi="ar-SA"/>
        </w:rPr>
        <w:t>r</w:t>
      </w:r>
      <w:r w:rsidRPr="00670EFE">
        <w:rPr>
          <w:rFonts w:ascii="Garamond" w:eastAsia="Times New Roman" w:hAnsi="Garamond" w:cs="Times New Roman"/>
          <w:bCs/>
          <w:kern w:val="0"/>
          <w:lang w:eastAsia="pt-BR" w:bidi="ar-SA"/>
        </w:rPr>
        <w:t>viços turísticos.</w:t>
      </w: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r w:rsidRPr="00670EFE">
        <w:rPr>
          <w:rFonts w:ascii="Garamond" w:eastAsia="Times New Roman" w:hAnsi="Garamond" w:cs="Times New Roman"/>
          <w:bCs/>
          <w:kern w:val="0"/>
          <w:lang w:eastAsia="pt-BR" w:bidi="ar-SA"/>
        </w:rPr>
        <w:t xml:space="preserve">c) </w:t>
      </w:r>
      <w:r w:rsidRPr="00670EFE">
        <w:rPr>
          <w:rFonts w:ascii="Garamond" w:eastAsia="Times New Roman" w:hAnsi="Garamond" w:cs="Times New Roman"/>
          <w:bCs/>
          <w:i/>
          <w:kern w:val="0"/>
          <w:lang w:eastAsia="pt-BR" w:bidi="ar-SA"/>
        </w:rPr>
        <w:t xml:space="preserve">alteração de atividades culturais </w:t>
      </w:r>
      <w:r w:rsidRPr="00670EFE">
        <w:rPr>
          <w:rFonts w:ascii="Garamond" w:eastAsia="Times New Roman" w:hAnsi="Garamond" w:cs="Times New Roman"/>
          <w:bCs/>
          <w:kern w:val="0"/>
          <w:lang w:eastAsia="pt-BR" w:bidi="ar-SA"/>
        </w:rPr>
        <w:t>- perda, limitação ou impedimento das atividades da cultura, tais como museologia, exposições, apresentações públicas, hábitos e costumes de comunidades e etnias.</w:t>
      </w: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r w:rsidRPr="00670EFE">
        <w:rPr>
          <w:rFonts w:ascii="Garamond" w:eastAsia="Times New Roman" w:hAnsi="Garamond" w:cs="Times New Roman"/>
          <w:bCs/>
          <w:kern w:val="0"/>
          <w:lang w:eastAsia="pt-BR" w:bidi="ar-SA"/>
        </w:rPr>
        <w:t xml:space="preserve">d) </w:t>
      </w:r>
      <w:r w:rsidRPr="00670EFE">
        <w:rPr>
          <w:rFonts w:ascii="Garamond" w:eastAsia="Times New Roman" w:hAnsi="Garamond" w:cs="Times New Roman"/>
          <w:bCs/>
          <w:i/>
          <w:kern w:val="0"/>
          <w:lang w:eastAsia="pt-BR" w:bidi="ar-SA"/>
        </w:rPr>
        <w:t xml:space="preserve">alteração de processos naturais </w:t>
      </w:r>
      <w:r w:rsidRPr="00670EFE">
        <w:rPr>
          <w:rFonts w:ascii="Garamond" w:eastAsia="Times New Roman" w:hAnsi="Garamond" w:cs="Times New Roman"/>
          <w:bCs/>
          <w:kern w:val="0"/>
          <w:lang w:eastAsia="pt-BR" w:bidi="ar-SA"/>
        </w:rPr>
        <w:t>- prejuízo para as cadeias tróficas, biodiversidade e equilíbrio ecossistêmico.</w:t>
      </w:r>
    </w:p>
    <w:p w:rsid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r w:rsidRPr="00670EFE">
        <w:rPr>
          <w:rFonts w:ascii="Garamond" w:eastAsia="Times New Roman" w:hAnsi="Garamond" w:cs="Times New Roman"/>
          <w:bCs/>
          <w:kern w:val="0"/>
          <w:lang w:eastAsia="pt-BR" w:bidi="ar-SA"/>
        </w:rPr>
        <w:t xml:space="preserve">e) </w:t>
      </w:r>
      <w:r w:rsidRPr="00670EFE">
        <w:rPr>
          <w:rFonts w:ascii="Garamond" w:eastAsia="Times New Roman" w:hAnsi="Garamond" w:cs="Times New Roman"/>
          <w:bCs/>
          <w:i/>
          <w:kern w:val="0"/>
          <w:lang w:eastAsia="pt-BR" w:bidi="ar-SA"/>
        </w:rPr>
        <w:t xml:space="preserve">prejuízo para pesquisa (atual e futura) </w:t>
      </w:r>
      <w:r w:rsidRPr="00670EFE">
        <w:rPr>
          <w:rFonts w:ascii="Garamond" w:eastAsia="Times New Roman" w:hAnsi="Garamond" w:cs="Times New Roman"/>
          <w:bCs/>
          <w:kern w:val="0"/>
          <w:lang w:eastAsia="pt-BR" w:bidi="ar-SA"/>
        </w:rPr>
        <w:t>- efeitos negativos às atividades de conhec</w:t>
      </w:r>
      <w:r w:rsidRPr="00670EFE">
        <w:rPr>
          <w:rFonts w:ascii="Garamond" w:eastAsia="Times New Roman" w:hAnsi="Garamond" w:cs="Times New Roman"/>
          <w:bCs/>
          <w:kern w:val="0"/>
          <w:lang w:eastAsia="pt-BR" w:bidi="ar-SA"/>
        </w:rPr>
        <w:t>i</w:t>
      </w:r>
      <w:r w:rsidRPr="00670EFE">
        <w:rPr>
          <w:rFonts w:ascii="Garamond" w:eastAsia="Times New Roman" w:hAnsi="Garamond" w:cs="Times New Roman"/>
          <w:bCs/>
          <w:kern w:val="0"/>
          <w:lang w:eastAsia="pt-BR" w:bidi="ar-SA"/>
        </w:rPr>
        <w:t>mento e pesquisa, individual ou coletivamente adquiridos no processo educativo básico, acadêmico, profissionalizante ou tão-somente informativo.</w:t>
      </w:r>
    </w:p>
    <w:p w:rsidR="00F71757" w:rsidRPr="00670EFE" w:rsidRDefault="00F71757" w:rsidP="00BE736F">
      <w:pPr>
        <w:widowControl/>
        <w:suppressAutoHyphens w:val="0"/>
        <w:autoSpaceDN/>
        <w:spacing w:line="276" w:lineRule="auto"/>
        <w:ind w:firstLine="708"/>
        <w:jc w:val="both"/>
        <w:textAlignment w:val="auto"/>
        <w:rPr>
          <w:rFonts w:ascii="Garamond" w:eastAsia="Times New Roman" w:hAnsi="Garamond" w:cs="Times New Roman"/>
          <w:bCs/>
          <w:kern w:val="0"/>
          <w:lang w:eastAsia="pt-BR" w:bidi="ar-SA"/>
        </w:rPr>
      </w:pPr>
    </w:p>
    <w:p w:rsidR="00670EFE" w:rsidRDefault="00670EFE" w:rsidP="00BE736F">
      <w:pPr>
        <w:widowControl/>
        <w:suppressAutoHyphens w:val="0"/>
        <w:autoSpaceDN/>
        <w:spacing w:line="276" w:lineRule="auto"/>
        <w:jc w:val="both"/>
        <w:textAlignment w:val="auto"/>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ab/>
        <w:t>Para o caso em questão, con</w:t>
      </w:r>
      <w:r w:rsidR="00F71757">
        <w:rPr>
          <w:rFonts w:ascii="Garamond" w:eastAsia="Times New Roman" w:hAnsi="Garamond" w:cs="Times New Roman"/>
          <w:b/>
          <w:bCs/>
          <w:kern w:val="0"/>
          <w:lang w:eastAsia="pt-BR" w:bidi="ar-SA"/>
        </w:rPr>
        <w:t>siderou-se o reflexo negativo constante no item e), totalizando 0,5</w:t>
      </w:r>
      <w:r w:rsidRPr="00670EFE">
        <w:rPr>
          <w:rFonts w:ascii="Garamond" w:eastAsia="Times New Roman" w:hAnsi="Garamond" w:cs="Times New Roman"/>
          <w:b/>
          <w:bCs/>
          <w:kern w:val="0"/>
          <w:lang w:eastAsia="pt-BR" w:bidi="ar-SA"/>
        </w:rPr>
        <w:t xml:space="preserve"> ponto.</w:t>
      </w:r>
    </w:p>
    <w:p w:rsidR="00F71757" w:rsidRPr="00670EFE" w:rsidRDefault="00F71757" w:rsidP="00BE736F">
      <w:pPr>
        <w:widowControl/>
        <w:suppressAutoHyphens w:val="0"/>
        <w:autoSpaceDN/>
        <w:spacing w:line="276" w:lineRule="auto"/>
        <w:jc w:val="both"/>
        <w:textAlignment w:val="auto"/>
        <w:rPr>
          <w:rFonts w:ascii="Garamond" w:eastAsia="Times New Roman" w:hAnsi="Garamond" w:cs="Times New Roman"/>
          <w:b/>
          <w:bCs/>
          <w:kern w:val="0"/>
          <w:lang w:eastAsia="pt-BR" w:bidi="ar-SA"/>
        </w:rPr>
      </w:pPr>
    </w:p>
    <w:p w:rsid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Considerando a pontuação atribuída a cada item, a gravidade máxima se daria ao atingir 7,5 pontos e a mínima ao atingir 1,9 pontos. A sanção, de acordo com o artigo 72 do Decreto 6514/08 é de R$10.000,00 a R$500.000,00. A partir destes dados foi elaborada a tabela constante no Anexo 1 deste documento.</w:t>
      </w:r>
    </w:p>
    <w:p w:rsidR="00F71757" w:rsidRPr="00670EFE" w:rsidRDefault="00F71757"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
          <w:kern w:val="0"/>
          <w:lang w:eastAsia="pt-BR" w:bidi="ar-SA"/>
        </w:rPr>
      </w:pPr>
      <w:r w:rsidRPr="00670EFE">
        <w:rPr>
          <w:rFonts w:ascii="Garamond" w:eastAsia="Times New Roman" w:hAnsi="Garamond" w:cs="Times New Roman"/>
          <w:b/>
          <w:bCs/>
          <w:kern w:val="0"/>
          <w:lang w:eastAsia="pt-BR" w:bidi="ar-SA"/>
        </w:rPr>
        <w:t xml:space="preserve">Para o caso </w:t>
      </w:r>
      <w:r w:rsidR="00F71757">
        <w:rPr>
          <w:rFonts w:ascii="Garamond" w:eastAsia="Times New Roman" w:hAnsi="Garamond" w:cs="Times New Roman"/>
          <w:b/>
          <w:bCs/>
          <w:kern w:val="0"/>
          <w:lang w:eastAsia="pt-BR" w:bidi="ar-SA"/>
        </w:rPr>
        <w:t>em questão foram totalizados 3,3</w:t>
      </w:r>
      <w:r w:rsidRPr="00670EFE">
        <w:rPr>
          <w:rFonts w:ascii="Garamond" w:eastAsia="Times New Roman" w:hAnsi="Garamond" w:cs="Times New Roman"/>
          <w:b/>
          <w:bCs/>
          <w:kern w:val="0"/>
          <w:lang w:eastAsia="pt-BR" w:bidi="ar-SA"/>
        </w:rPr>
        <w:t xml:space="preserve"> pontos e de acordo com a tab</w:t>
      </w:r>
      <w:r w:rsidRPr="00670EFE">
        <w:rPr>
          <w:rFonts w:ascii="Garamond" w:eastAsia="Times New Roman" w:hAnsi="Garamond" w:cs="Times New Roman"/>
          <w:b/>
          <w:bCs/>
          <w:kern w:val="0"/>
          <w:lang w:eastAsia="pt-BR" w:bidi="ar-SA"/>
        </w:rPr>
        <w:t>e</w:t>
      </w:r>
      <w:r w:rsidR="00F71757">
        <w:rPr>
          <w:rFonts w:ascii="Garamond" w:eastAsia="Times New Roman" w:hAnsi="Garamond" w:cs="Times New Roman"/>
          <w:b/>
          <w:bCs/>
          <w:kern w:val="0"/>
          <w:lang w:eastAsia="pt-BR" w:bidi="ar-SA"/>
        </w:rPr>
        <w:t xml:space="preserve">la do anexo 2 o valor para esta pontuação é </w:t>
      </w:r>
      <w:r w:rsidR="00F71757" w:rsidRPr="00670EFE">
        <w:rPr>
          <w:rFonts w:ascii="Garamond" w:eastAsia="Times New Roman" w:hAnsi="Garamond" w:cs="Times New Roman"/>
          <w:b/>
          <w:kern w:val="0"/>
          <w:lang w:eastAsia="pt-BR" w:bidi="ar-SA"/>
        </w:rPr>
        <w:t>R$ 132.500,00</w:t>
      </w:r>
      <w:r w:rsidR="00F71757">
        <w:rPr>
          <w:rFonts w:ascii="Garamond" w:eastAsia="Times New Roman" w:hAnsi="Garamond" w:cs="Times New Roman"/>
          <w:b/>
          <w:kern w:val="0"/>
          <w:lang w:eastAsia="pt-BR" w:bidi="ar-SA"/>
        </w:rPr>
        <w:t xml:space="preserve"> (cento e trinta e dois mil e quinhentos reais).</w:t>
      </w:r>
    </w:p>
    <w:p w:rsidR="00F71757" w:rsidRPr="00670EFE" w:rsidRDefault="00F71757" w:rsidP="00BE736F">
      <w:pPr>
        <w:widowControl/>
        <w:suppressAutoHyphens w:val="0"/>
        <w:autoSpaceDN/>
        <w:spacing w:line="276" w:lineRule="auto"/>
        <w:ind w:firstLine="708"/>
        <w:jc w:val="both"/>
        <w:textAlignment w:val="auto"/>
        <w:rPr>
          <w:rFonts w:ascii="Garamond" w:eastAsia="Times New Roman" w:hAnsi="Garamond" w:cs="Times New Roman"/>
          <w:b/>
          <w:bCs/>
          <w:kern w:val="0"/>
          <w:lang w:eastAsia="pt-BR" w:bidi="ar-SA"/>
        </w:rPr>
      </w:pPr>
    </w:p>
    <w:p w:rsidR="00670EFE" w:rsidRPr="00670EFE" w:rsidRDefault="00670EFE" w:rsidP="00BE736F">
      <w:pPr>
        <w:keepNext/>
        <w:widowControl/>
        <w:suppressAutoHyphens w:val="0"/>
        <w:autoSpaceDN/>
        <w:spacing w:line="276" w:lineRule="auto"/>
        <w:ind w:firstLine="708"/>
        <w:jc w:val="both"/>
        <w:textAlignment w:val="auto"/>
        <w:outlineLvl w:val="7"/>
        <w:rPr>
          <w:rFonts w:ascii="Garamond" w:eastAsia="Times New Roman" w:hAnsi="Garamond" w:cs="Times New Roman"/>
          <w:kern w:val="0"/>
          <w:lang w:eastAsia="pt-BR" w:bidi="ar-SA"/>
        </w:rPr>
      </w:pPr>
      <w:r w:rsidRPr="00670EFE">
        <w:rPr>
          <w:rFonts w:ascii="Garamond" w:eastAsia="Times New Roman" w:hAnsi="Garamond" w:cs="Times New Roman"/>
          <w:b/>
          <w:bCs/>
          <w:kern w:val="0"/>
          <w:lang w:eastAsia="pt-BR" w:bidi="ar-SA"/>
        </w:rPr>
        <w:t xml:space="preserve">B – QUANTO AOS ANTECEDENTES DO INFRATOR, </w:t>
      </w:r>
      <w:r w:rsidRPr="00670EFE">
        <w:rPr>
          <w:rFonts w:ascii="Garamond" w:eastAsia="Times New Roman" w:hAnsi="Garamond" w:cs="Times New Roman"/>
          <w:kern w:val="0"/>
          <w:lang w:eastAsia="pt-BR" w:bidi="ar-SA"/>
        </w:rPr>
        <w:t>conforme inciso II do artigo 4º do Decreto 6514 de 22 de julho de 2008, este item não será levado em cons</w:t>
      </w:r>
      <w:r w:rsidRPr="00670EFE">
        <w:rPr>
          <w:rFonts w:ascii="Garamond" w:eastAsia="Times New Roman" w:hAnsi="Garamond" w:cs="Times New Roman"/>
          <w:kern w:val="0"/>
          <w:lang w:eastAsia="pt-BR" w:bidi="ar-SA"/>
        </w:rPr>
        <w:t>i</w:t>
      </w:r>
      <w:r w:rsidRPr="00670EFE">
        <w:rPr>
          <w:rFonts w:ascii="Garamond" w:eastAsia="Times New Roman" w:hAnsi="Garamond" w:cs="Times New Roman"/>
          <w:kern w:val="0"/>
          <w:lang w:eastAsia="pt-BR" w:bidi="ar-SA"/>
        </w:rPr>
        <w:t>deração para a</w:t>
      </w:r>
      <w:proofErr w:type="gramStart"/>
      <w:r w:rsidRPr="00670EFE">
        <w:rPr>
          <w:rFonts w:ascii="Garamond" w:eastAsia="Times New Roman" w:hAnsi="Garamond" w:cs="Times New Roman"/>
          <w:kern w:val="0"/>
          <w:lang w:eastAsia="pt-BR" w:bidi="ar-SA"/>
        </w:rPr>
        <w:t xml:space="preserve">  </w:t>
      </w:r>
      <w:proofErr w:type="gramEnd"/>
      <w:r w:rsidRPr="00670EFE">
        <w:rPr>
          <w:rFonts w:ascii="Garamond" w:eastAsia="Times New Roman" w:hAnsi="Garamond" w:cs="Times New Roman"/>
          <w:kern w:val="0"/>
          <w:lang w:eastAsia="pt-BR" w:bidi="ar-SA"/>
        </w:rPr>
        <w:t>quantificação de danos causados ao patrimônio cultural do caso em tela devido à dificuldade de se obter tal informação.</w:t>
      </w:r>
    </w:p>
    <w:p w:rsidR="00670EFE" w:rsidRPr="00670EFE" w:rsidRDefault="00670EFE" w:rsidP="00BE736F">
      <w:pPr>
        <w:widowControl/>
        <w:suppressAutoHyphens w:val="0"/>
        <w:autoSpaceDN/>
        <w:spacing w:line="276" w:lineRule="auto"/>
        <w:textAlignment w:val="auto"/>
        <w:rPr>
          <w:rFonts w:ascii="Garamond" w:eastAsia="Times New Roman" w:hAnsi="Garamond" w:cs="Times New Roman"/>
          <w:kern w:val="0"/>
          <w:lang w:eastAsia="pt-BR" w:bidi="ar-SA"/>
        </w:rPr>
      </w:pPr>
    </w:p>
    <w:p w:rsidR="00450552" w:rsidRPr="00450552" w:rsidRDefault="00670EFE" w:rsidP="00450552">
      <w:pPr>
        <w:pStyle w:val="Standard"/>
        <w:spacing w:line="276" w:lineRule="auto"/>
        <w:ind w:firstLine="708"/>
        <w:jc w:val="both"/>
        <w:rPr>
          <w:rFonts w:ascii="Garamond" w:hAnsi="Garamond"/>
        </w:rPr>
      </w:pPr>
      <w:r w:rsidRPr="00670EFE">
        <w:rPr>
          <w:rFonts w:ascii="Garamond" w:hAnsi="Garamond"/>
          <w:b/>
          <w:bCs/>
          <w:kern w:val="0"/>
          <w:lang w:eastAsia="pt-BR"/>
        </w:rPr>
        <w:t xml:space="preserve">C – QUANTO À SITUAÇÃO ECONÔMICA DO INFRATOR, </w:t>
      </w:r>
      <w:r w:rsidRPr="00670EFE">
        <w:rPr>
          <w:rFonts w:ascii="Garamond" w:hAnsi="Garamond"/>
          <w:kern w:val="0"/>
          <w:lang w:eastAsia="pt-BR"/>
        </w:rPr>
        <w:t xml:space="preserve">conforme inciso III do artigo 4º do Decreto 6514 de 22 de julho de 2008, </w:t>
      </w:r>
      <w:r w:rsidRPr="00670EFE">
        <w:rPr>
          <w:rFonts w:ascii="Garamond" w:hAnsi="Garamond"/>
          <w:bCs/>
          <w:kern w:val="0"/>
          <w:lang w:eastAsia="pt-BR"/>
        </w:rPr>
        <w:t>foi consi</w:t>
      </w:r>
      <w:r w:rsidR="00F71757" w:rsidRPr="00450552">
        <w:rPr>
          <w:rFonts w:ascii="Garamond" w:hAnsi="Garamond"/>
          <w:bCs/>
          <w:kern w:val="0"/>
          <w:lang w:eastAsia="pt-BR"/>
        </w:rPr>
        <w:t>derada a multa em seu valor médio</w:t>
      </w:r>
      <w:r w:rsidR="00450552" w:rsidRPr="00450552">
        <w:rPr>
          <w:rFonts w:ascii="Garamond" w:hAnsi="Garamond"/>
          <w:bCs/>
          <w:kern w:val="0"/>
          <w:lang w:eastAsia="pt-BR"/>
        </w:rPr>
        <w:t>, ou seja, R$ 25</w:t>
      </w:r>
      <w:r w:rsidRPr="00670EFE">
        <w:rPr>
          <w:rFonts w:ascii="Garamond" w:hAnsi="Garamond"/>
          <w:bCs/>
          <w:kern w:val="0"/>
          <w:lang w:eastAsia="pt-BR"/>
        </w:rPr>
        <w:t>0.000,00</w:t>
      </w:r>
      <w:r w:rsidR="00450552" w:rsidRPr="00450552">
        <w:rPr>
          <w:rFonts w:ascii="Garamond" w:hAnsi="Garamond"/>
          <w:bCs/>
          <w:kern w:val="0"/>
          <w:lang w:eastAsia="pt-BR"/>
        </w:rPr>
        <w:t>. Trata-se de um dos melhores e maiores hospitais do interior de Minas Gerais, implantado em terreno central da cidade de Patos de Minas e com instalações e equipamentos de ponta, atendendo a diversos planos de saúde e com</w:t>
      </w:r>
      <w:proofErr w:type="gramStart"/>
      <w:r w:rsidR="00450552" w:rsidRPr="00450552">
        <w:rPr>
          <w:rFonts w:ascii="Garamond" w:hAnsi="Garamond"/>
          <w:bCs/>
          <w:kern w:val="0"/>
          <w:lang w:eastAsia="pt-BR"/>
        </w:rPr>
        <w:t xml:space="preserve"> </w:t>
      </w:r>
      <w:r w:rsidRPr="00670EFE">
        <w:rPr>
          <w:rFonts w:ascii="Garamond" w:hAnsi="Garamond"/>
          <w:kern w:val="0"/>
          <w:lang w:eastAsia="pt-BR"/>
        </w:rPr>
        <w:t xml:space="preserve"> </w:t>
      </w:r>
      <w:proofErr w:type="gramEnd"/>
      <w:r w:rsidR="00450552" w:rsidRPr="00450552">
        <w:rPr>
          <w:rFonts w:ascii="Garamond" w:hAnsi="Garamond"/>
          <w:kern w:val="0"/>
          <w:lang w:eastAsia="pt-BR"/>
        </w:rPr>
        <w:t xml:space="preserve">capital social de </w:t>
      </w:r>
      <w:r w:rsidR="00450552">
        <w:rPr>
          <w:rFonts w:ascii="Garamond" w:hAnsi="Garamond"/>
          <w:kern w:val="0"/>
          <w:lang w:eastAsia="pt-BR"/>
        </w:rPr>
        <w:t>R$</w:t>
      </w:r>
      <w:r w:rsidR="00450552" w:rsidRPr="00450552">
        <w:rPr>
          <w:rFonts w:ascii="Garamond" w:hAnsi="Garamond" w:cs="TimesNewRomanPSMT"/>
          <w:kern w:val="0"/>
        </w:rPr>
        <w:t>4.579.691,00</w:t>
      </w:r>
      <w:r w:rsidR="00450552">
        <w:rPr>
          <w:rFonts w:ascii="Garamond" w:hAnsi="Garamond" w:cs="TimesNewRomanPSMT"/>
          <w:kern w:val="0"/>
        </w:rPr>
        <w:t xml:space="preserve">. Entretanto, se comparado aos demais hospitais do país, </w:t>
      </w:r>
      <w:r w:rsidR="00450552">
        <w:rPr>
          <w:rFonts w:ascii="Garamond" w:hAnsi="Garamond" w:cs="TimesNewRomanPSMT"/>
          <w:kern w:val="0"/>
        </w:rPr>
        <w:lastRenderedPageBreak/>
        <w:t>especialmente das capitais, enquadra-se no padrão médio tanto no que se refere à área construída quanto no numero de funcionários e serviços prestados.</w:t>
      </w:r>
    </w:p>
    <w:p w:rsid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450552" w:rsidRPr="00670EFE" w:rsidRDefault="00450552"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670EFE" w:rsidRDefault="00670EFE" w:rsidP="00BE736F">
      <w:pPr>
        <w:keepNext/>
        <w:widowControl/>
        <w:suppressAutoHyphens w:val="0"/>
        <w:autoSpaceDN/>
        <w:spacing w:line="276" w:lineRule="auto"/>
        <w:ind w:firstLine="708"/>
        <w:jc w:val="both"/>
        <w:textAlignment w:val="auto"/>
        <w:outlineLvl w:val="7"/>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VALOR TOTAL DOS DANOS</w:t>
      </w:r>
    </w:p>
    <w:p w:rsidR="00450552" w:rsidRPr="00670EFE" w:rsidRDefault="00450552" w:rsidP="00BE736F">
      <w:pPr>
        <w:keepNext/>
        <w:widowControl/>
        <w:suppressAutoHyphens w:val="0"/>
        <w:autoSpaceDN/>
        <w:spacing w:line="276" w:lineRule="auto"/>
        <w:ind w:firstLine="708"/>
        <w:jc w:val="both"/>
        <w:textAlignment w:val="auto"/>
        <w:outlineLvl w:val="7"/>
        <w:rPr>
          <w:rFonts w:ascii="Garamond" w:eastAsia="Times New Roman" w:hAnsi="Garamond" w:cs="Times New Roman"/>
          <w:b/>
          <w:bCs/>
          <w:kern w:val="0"/>
          <w:lang w:eastAsia="pt-BR" w:bidi="ar-SA"/>
        </w:rPr>
      </w:pPr>
    </w:p>
    <w:p w:rsidR="00450552"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Foram levados em conta dois parâmetros, dentro dos três existentes, para definir o valor da indenização: a gravidade, cujo valor da multa foi fixado em R$</w:t>
      </w:r>
      <w:r w:rsidR="00450552">
        <w:rPr>
          <w:rFonts w:ascii="Garamond" w:eastAsia="Times New Roman" w:hAnsi="Garamond" w:cs="Times New Roman"/>
          <w:kern w:val="0"/>
          <w:lang w:eastAsia="pt-BR" w:bidi="ar-SA"/>
        </w:rPr>
        <w:t>132.500,00</w:t>
      </w:r>
      <w:r w:rsidRPr="00670EFE">
        <w:rPr>
          <w:rFonts w:ascii="Garamond" w:eastAsia="Times New Roman" w:hAnsi="Garamond" w:cs="Times New Roman"/>
          <w:kern w:val="0"/>
          <w:lang w:eastAsia="pt-BR" w:bidi="ar-SA"/>
        </w:rPr>
        <w:t>; e a sit</w:t>
      </w:r>
      <w:r w:rsidRPr="00670EFE">
        <w:rPr>
          <w:rFonts w:ascii="Garamond" w:eastAsia="Times New Roman" w:hAnsi="Garamond" w:cs="Times New Roman"/>
          <w:kern w:val="0"/>
          <w:lang w:eastAsia="pt-BR" w:bidi="ar-SA"/>
        </w:rPr>
        <w:t>u</w:t>
      </w:r>
      <w:r w:rsidRPr="00670EFE">
        <w:rPr>
          <w:rFonts w:ascii="Garamond" w:eastAsia="Times New Roman" w:hAnsi="Garamond" w:cs="Times New Roman"/>
          <w:kern w:val="0"/>
          <w:lang w:eastAsia="pt-BR" w:bidi="ar-SA"/>
        </w:rPr>
        <w:t>ação eco</w:t>
      </w:r>
      <w:r w:rsidR="00450552">
        <w:rPr>
          <w:rFonts w:ascii="Garamond" w:eastAsia="Times New Roman" w:hAnsi="Garamond" w:cs="Times New Roman"/>
          <w:kern w:val="0"/>
          <w:lang w:eastAsia="pt-BR" w:bidi="ar-SA"/>
        </w:rPr>
        <w:t>nômica do infrator R$ 25</w:t>
      </w:r>
      <w:r w:rsidRPr="00670EFE">
        <w:rPr>
          <w:rFonts w:ascii="Garamond" w:eastAsia="Times New Roman" w:hAnsi="Garamond" w:cs="Times New Roman"/>
          <w:kern w:val="0"/>
          <w:lang w:eastAsia="pt-BR" w:bidi="ar-SA"/>
        </w:rPr>
        <w:t xml:space="preserve">0.000,00. </w:t>
      </w:r>
    </w:p>
    <w:p w:rsidR="00450552" w:rsidRDefault="00450552"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Faremos uma média destes valores, somando os montantes encontrados e dividi</w:t>
      </w:r>
      <w:r w:rsidRPr="00670EFE">
        <w:rPr>
          <w:rFonts w:ascii="Garamond" w:eastAsia="Times New Roman" w:hAnsi="Garamond" w:cs="Times New Roman"/>
          <w:kern w:val="0"/>
          <w:lang w:eastAsia="pt-BR" w:bidi="ar-SA"/>
        </w:rPr>
        <w:t>n</w:t>
      </w:r>
      <w:r w:rsidRPr="00670EFE">
        <w:rPr>
          <w:rFonts w:ascii="Garamond" w:eastAsia="Times New Roman" w:hAnsi="Garamond" w:cs="Times New Roman"/>
          <w:kern w:val="0"/>
          <w:lang w:eastAsia="pt-BR" w:bidi="ar-SA"/>
        </w:rPr>
        <w:t>do o valor total por 2 por se tratarem de dois parâmetros.</w:t>
      </w:r>
    </w:p>
    <w:p w:rsidR="00450552" w:rsidRPr="00670EFE" w:rsidRDefault="00450552"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R$ </w:t>
      </w:r>
      <w:r w:rsidR="00450552">
        <w:rPr>
          <w:rFonts w:ascii="Garamond" w:eastAsia="Times New Roman" w:hAnsi="Garamond" w:cs="Times New Roman"/>
          <w:kern w:val="0"/>
          <w:lang w:eastAsia="pt-BR" w:bidi="ar-SA"/>
        </w:rPr>
        <w:t>132.500,00 + R$ 250</w:t>
      </w:r>
      <w:r w:rsidRPr="00670EFE">
        <w:rPr>
          <w:rFonts w:ascii="Garamond" w:eastAsia="Times New Roman" w:hAnsi="Garamond" w:cs="Times New Roman"/>
          <w:kern w:val="0"/>
          <w:lang w:eastAsia="pt-BR" w:bidi="ar-SA"/>
        </w:rPr>
        <w:t xml:space="preserve">.000,00 = </w:t>
      </w:r>
      <w:r w:rsidR="00450552">
        <w:rPr>
          <w:rFonts w:ascii="Garamond" w:eastAsia="Times New Roman" w:hAnsi="Garamond" w:cs="Times New Roman"/>
          <w:kern w:val="0"/>
          <w:lang w:eastAsia="pt-BR" w:bidi="ar-SA"/>
        </w:rPr>
        <w:t>382.500,00</w:t>
      </w:r>
      <w:r w:rsidRPr="00670EFE">
        <w:rPr>
          <w:rFonts w:ascii="Garamond" w:eastAsia="Times New Roman" w:hAnsi="Garamond" w:cs="Times New Roman"/>
          <w:kern w:val="0"/>
          <w:lang w:eastAsia="pt-BR" w:bidi="ar-SA"/>
        </w:rPr>
        <w:t xml:space="preserve">/ 2 = R$ </w:t>
      </w:r>
      <w:r w:rsidR="00450552">
        <w:rPr>
          <w:rFonts w:ascii="Garamond" w:eastAsia="Times New Roman" w:hAnsi="Garamond" w:cs="Times New Roman"/>
          <w:kern w:val="0"/>
          <w:lang w:eastAsia="pt-BR" w:bidi="ar-SA"/>
        </w:rPr>
        <w:t xml:space="preserve">191.250,00 </w:t>
      </w:r>
    </w:p>
    <w:p w:rsidR="00670EFE" w:rsidRPr="00670EFE" w:rsidRDefault="00670EFE" w:rsidP="00BE736F">
      <w:pPr>
        <w:keepNext/>
        <w:widowControl/>
        <w:suppressAutoHyphens w:val="0"/>
        <w:autoSpaceDN/>
        <w:spacing w:line="276" w:lineRule="auto"/>
        <w:ind w:firstLine="708"/>
        <w:jc w:val="both"/>
        <w:textAlignment w:val="auto"/>
        <w:outlineLvl w:val="7"/>
        <w:rPr>
          <w:rFonts w:ascii="Garamond" w:eastAsia="Times New Roman" w:hAnsi="Garamond" w:cs="Times New Roman"/>
          <w:b/>
          <w:bCs/>
          <w:kern w:val="0"/>
          <w:lang w:eastAsia="pt-BR" w:bidi="ar-SA"/>
        </w:rPr>
      </w:pPr>
    </w:p>
    <w:p w:rsidR="00670EFE" w:rsidRPr="00670EFE" w:rsidRDefault="00670EFE" w:rsidP="00BE736F">
      <w:pPr>
        <w:keepNext/>
        <w:widowControl/>
        <w:pBdr>
          <w:top w:val="single" w:sz="4" w:space="1" w:color="auto"/>
          <w:left w:val="single" w:sz="4" w:space="4" w:color="auto"/>
          <w:bottom w:val="single" w:sz="4" w:space="1" w:color="auto"/>
          <w:right w:val="single" w:sz="4" w:space="4" w:color="auto"/>
        </w:pBdr>
        <w:suppressAutoHyphens w:val="0"/>
        <w:autoSpaceDN/>
        <w:spacing w:line="276" w:lineRule="auto"/>
        <w:ind w:firstLine="708"/>
        <w:jc w:val="center"/>
        <w:textAlignment w:val="auto"/>
        <w:outlineLvl w:val="7"/>
        <w:rPr>
          <w:rFonts w:ascii="Garamond" w:eastAsia="Times New Roman" w:hAnsi="Garamond" w:cs="Times New Roman"/>
          <w:b/>
          <w:bCs/>
          <w:kern w:val="0"/>
          <w:lang w:eastAsia="pt-BR" w:bidi="ar-SA"/>
        </w:rPr>
      </w:pPr>
      <w:r w:rsidRPr="00670EFE">
        <w:rPr>
          <w:rFonts w:ascii="Garamond" w:eastAsia="Times New Roman" w:hAnsi="Garamond" w:cs="Times New Roman"/>
          <w:b/>
          <w:bCs/>
          <w:kern w:val="0"/>
          <w:lang w:eastAsia="pt-BR" w:bidi="ar-SA"/>
        </w:rPr>
        <w:t xml:space="preserve">Portanto, os danos causados foram quantificados em R$ </w:t>
      </w:r>
      <w:r w:rsidR="00450552">
        <w:rPr>
          <w:rFonts w:ascii="Garamond" w:eastAsia="Times New Roman" w:hAnsi="Garamond" w:cs="Times New Roman"/>
          <w:b/>
          <w:bCs/>
          <w:kern w:val="0"/>
          <w:lang w:eastAsia="pt-BR" w:bidi="ar-SA"/>
        </w:rPr>
        <w:t>191.250,00 (cento e noventa e um mil duzentos e cinquenta reais).</w:t>
      </w: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708"/>
        <w:jc w:val="both"/>
        <w:textAlignment w:val="auto"/>
        <w:rPr>
          <w:rFonts w:ascii="Garamond" w:eastAsia="Times New Roman" w:hAnsi="Garamond" w:cs="Times New Roman"/>
          <w:b/>
          <w:bCs/>
          <w:kern w:val="0"/>
          <w:lang w:eastAsia="pt-BR" w:bidi="ar-SA"/>
        </w:rPr>
      </w:pPr>
    </w:p>
    <w:p w:rsidR="00670EFE" w:rsidRPr="00670EFE" w:rsidRDefault="00670EFE" w:rsidP="00BE736F">
      <w:pPr>
        <w:widowControl/>
        <w:suppressAutoHyphens w:val="0"/>
        <w:autoSpaceDN/>
        <w:spacing w:line="276" w:lineRule="auto"/>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left="360" w:firstLine="348"/>
        <w:jc w:val="both"/>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São essas as considerações deste setor técnico, que se coloca à disposição para o que mais se fizer necessário. </w:t>
      </w:r>
    </w:p>
    <w:p w:rsidR="00670EFE" w:rsidRPr="00670EFE" w:rsidRDefault="00670EFE" w:rsidP="00BE736F">
      <w:pPr>
        <w:widowControl/>
        <w:suppressAutoHyphens w:val="0"/>
        <w:autoSpaceDN/>
        <w:spacing w:line="276" w:lineRule="auto"/>
        <w:ind w:firstLine="2160"/>
        <w:jc w:val="both"/>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2160"/>
        <w:jc w:val="right"/>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ind w:firstLine="2160"/>
        <w:jc w:val="right"/>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Belo Horizonte,</w:t>
      </w:r>
      <w:r w:rsidR="00450552">
        <w:rPr>
          <w:rFonts w:ascii="Garamond" w:eastAsia="Times New Roman" w:hAnsi="Garamond" w:cs="Times New Roman"/>
          <w:kern w:val="0"/>
          <w:lang w:eastAsia="pt-BR" w:bidi="ar-SA"/>
        </w:rPr>
        <w:t xml:space="preserve"> 03 de agosto de 2017</w:t>
      </w:r>
      <w:r w:rsidRPr="00670EFE">
        <w:rPr>
          <w:rFonts w:ascii="Garamond" w:eastAsia="Times New Roman" w:hAnsi="Garamond" w:cs="Times New Roman"/>
          <w:kern w:val="0"/>
          <w:lang w:eastAsia="pt-BR" w:bidi="ar-SA"/>
        </w:rPr>
        <w:t>.</w:t>
      </w:r>
    </w:p>
    <w:p w:rsidR="00670EFE" w:rsidRPr="00670EFE" w:rsidRDefault="00670EFE" w:rsidP="00BE736F">
      <w:pPr>
        <w:widowControl/>
        <w:suppressAutoHyphens w:val="0"/>
        <w:autoSpaceDN/>
        <w:spacing w:line="276" w:lineRule="auto"/>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textAlignment w:val="auto"/>
        <w:rPr>
          <w:rFonts w:ascii="Garamond" w:eastAsia="Times New Roman" w:hAnsi="Garamond" w:cs="Times New Roman"/>
          <w:kern w:val="0"/>
          <w:lang w:eastAsia="pt-BR" w:bidi="ar-SA"/>
        </w:rPr>
      </w:pPr>
    </w:p>
    <w:p w:rsidR="00670EFE" w:rsidRPr="00670EFE" w:rsidRDefault="00670EFE" w:rsidP="00BE736F">
      <w:pPr>
        <w:widowControl/>
        <w:suppressAutoHyphens w:val="0"/>
        <w:autoSpaceDN/>
        <w:spacing w:line="276" w:lineRule="auto"/>
        <w:jc w:val="center"/>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 xml:space="preserve">Andréa </w:t>
      </w:r>
      <w:proofErr w:type="spellStart"/>
      <w:r w:rsidRPr="00670EFE">
        <w:rPr>
          <w:rFonts w:ascii="Garamond" w:eastAsia="Times New Roman" w:hAnsi="Garamond" w:cs="Times New Roman"/>
          <w:kern w:val="0"/>
          <w:lang w:eastAsia="pt-BR" w:bidi="ar-SA"/>
        </w:rPr>
        <w:t>Lanna</w:t>
      </w:r>
      <w:proofErr w:type="spellEnd"/>
      <w:r w:rsidRPr="00670EFE">
        <w:rPr>
          <w:rFonts w:ascii="Garamond" w:eastAsia="Times New Roman" w:hAnsi="Garamond" w:cs="Times New Roman"/>
          <w:kern w:val="0"/>
          <w:lang w:eastAsia="pt-BR" w:bidi="ar-SA"/>
        </w:rPr>
        <w:t xml:space="preserve"> Mendes Novais – </w:t>
      </w:r>
    </w:p>
    <w:p w:rsidR="00670EFE" w:rsidRPr="00670EFE" w:rsidRDefault="00670EFE" w:rsidP="00BE736F">
      <w:pPr>
        <w:widowControl/>
        <w:suppressAutoHyphens w:val="0"/>
        <w:autoSpaceDN/>
        <w:spacing w:line="276" w:lineRule="auto"/>
        <w:jc w:val="center"/>
        <w:textAlignment w:val="auto"/>
        <w:rPr>
          <w:rFonts w:ascii="Garamond" w:eastAsia="Times New Roman" w:hAnsi="Garamond" w:cs="Times New Roman"/>
          <w:kern w:val="0"/>
          <w:lang w:eastAsia="pt-BR" w:bidi="ar-SA"/>
        </w:rPr>
      </w:pPr>
      <w:r w:rsidRPr="00670EFE">
        <w:rPr>
          <w:rFonts w:ascii="Garamond" w:eastAsia="Times New Roman" w:hAnsi="Garamond" w:cs="Times New Roman"/>
          <w:kern w:val="0"/>
          <w:lang w:eastAsia="pt-BR" w:bidi="ar-SA"/>
        </w:rPr>
        <w:t>Analista do Ministério Público – MAMP 3951</w:t>
      </w:r>
    </w:p>
    <w:p w:rsidR="00670EFE" w:rsidRPr="00670EFE" w:rsidRDefault="00670EFE" w:rsidP="00BE736F">
      <w:pPr>
        <w:widowControl/>
        <w:suppressAutoHyphens w:val="0"/>
        <w:autoSpaceDN/>
        <w:spacing w:line="276" w:lineRule="auto"/>
        <w:jc w:val="center"/>
        <w:textAlignment w:val="auto"/>
        <w:rPr>
          <w:rFonts w:ascii="Garamond" w:eastAsia="Times New Roman" w:hAnsi="Garamond" w:cs="Arial"/>
          <w:b/>
          <w:bCs/>
          <w:color w:val="313131"/>
          <w:kern w:val="0"/>
          <w:lang w:eastAsia="pt-BR" w:bidi="ar-SA"/>
        </w:rPr>
      </w:pPr>
      <w:r w:rsidRPr="00670EFE">
        <w:rPr>
          <w:rFonts w:ascii="Garamond" w:eastAsia="Times New Roman" w:hAnsi="Garamond" w:cs="Times New Roman"/>
          <w:kern w:val="0"/>
          <w:lang w:eastAsia="pt-BR" w:bidi="ar-SA"/>
        </w:rPr>
        <w:t>Arquiteta Urbanista – CAU A 27713-4</w:t>
      </w: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670EFE"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p>
    <w:p w:rsidR="00670EFE" w:rsidRPr="00670EFE" w:rsidRDefault="002356EA" w:rsidP="00BE736F">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r>
        <w:rPr>
          <w:rFonts w:ascii="Garamond" w:eastAsia="Arial Unicode MS" w:hAnsi="Garamond" w:cs="Arial"/>
          <w:b/>
          <w:bCs/>
          <w:color w:val="313131"/>
          <w:kern w:val="0"/>
          <w:lang w:eastAsia="pt-BR" w:bidi="ar-SA"/>
        </w:rPr>
        <w:lastRenderedPageBreak/>
        <w:t>A</w:t>
      </w:r>
      <w:r w:rsidR="00670EFE" w:rsidRPr="00670EFE">
        <w:rPr>
          <w:rFonts w:ascii="Garamond" w:eastAsia="Arial Unicode MS" w:hAnsi="Garamond" w:cs="Arial"/>
          <w:b/>
          <w:bCs/>
          <w:color w:val="313131"/>
          <w:kern w:val="0"/>
          <w:lang w:eastAsia="pt-BR" w:bidi="ar-SA"/>
        </w:rPr>
        <w:t>NEXO 2</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800"/>
        <w:gridCol w:w="1593"/>
        <w:gridCol w:w="799"/>
        <w:gridCol w:w="1593"/>
      </w:tblGrid>
      <w:tr w:rsidR="00670EFE" w:rsidRPr="00670EFE" w:rsidTr="00450552">
        <w:trPr>
          <w:trHeight w:val="270"/>
          <w:tblCellSpacing w:w="0" w:type="dxa"/>
          <w:jc w:val="center"/>
        </w:trPr>
        <w:tc>
          <w:tcPr>
            <w:tcW w:w="4785" w:type="dxa"/>
            <w:gridSpan w:val="4"/>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TABELA I</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Pontos</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Multa em reais</w:t>
            </w:r>
          </w:p>
        </w:tc>
        <w:tc>
          <w:tcPr>
            <w:tcW w:w="0" w:type="auto"/>
            <w:vAlign w:val="center"/>
          </w:tcPr>
          <w:p w:rsidR="00670EFE" w:rsidRPr="00670EFE" w:rsidRDefault="00670EFE" w:rsidP="00BE736F">
            <w:pPr>
              <w:widowControl/>
              <w:suppressAutoHyphens w:val="0"/>
              <w:autoSpaceDN/>
              <w:spacing w:line="276" w:lineRule="auto"/>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Pontos</w:t>
            </w:r>
          </w:p>
        </w:tc>
        <w:tc>
          <w:tcPr>
            <w:tcW w:w="0" w:type="auto"/>
            <w:vAlign w:val="center"/>
          </w:tcPr>
          <w:p w:rsidR="00670EFE" w:rsidRPr="00670EFE" w:rsidRDefault="00670EFE" w:rsidP="00BE736F">
            <w:pPr>
              <w:widowControl/>
              <w:suppressAutoHyphens w:val="0"/>
              <w:autoSpaceDN/>
              <w:spacing w:line="276" w:lineRule="auto"/>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Multa em reais</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1,9</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R$ 10.000,00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4,8</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R$ 263.750,00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R$ 18.750,00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4,9</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R$ 272.500,00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R$ 27.500,00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R$ 281.250,00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R$ 36.250,00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R$ 290.000,00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R$ 45.000,00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R$ 298.750,00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R$ 53.750,00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R$ 307.500,00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R$ 62.500,00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R$ 316.250,00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R$ 71.250,00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R$ 325.000,00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R$ 80.000,00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R$ 333.750,00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2,8</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R$ 88.750,00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R$ 342.500,00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2,9</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R$ 97.500,00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5,8</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R$ 351.250,00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R$ 106.250,00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5,9</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R$ 360.000,00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R$ 115.000,00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R$ 368.750,00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R$ 123.750,00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R$ 377.500,00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R$ 132.500,00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R$ 386.250,00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R$ 141.250,00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R$ 395.000,00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R$ 150.000,00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R$ 403.750,00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R$ 158.750,00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R$ 412.500,00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R$ 167.500,00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R$ 421.250,00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3,8</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R$ 176.250,00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R$ 430.000,00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3,9</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R$ 185.000,00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6,8</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R$ 438.750,00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R$ 193.750,00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6,9</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R$ 447.500,00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R$ 202.500,00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R$ 456.250,00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R$ 211.250,00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7,1</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R$ 465.000,00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R$ 220.000,00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7,2</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R$ 473.750,00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R$ 228.750,00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7,3</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R$ 482.500,00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R$ 237.500,00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7,4</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R$ 491.250,00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4,6</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R$ 246.250,00 </w:t>
            </w:r>
          </w:p>
        </w:tc>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7,5</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R$ 500.000,00 </w:t>
            </w:r>
          </w:p>
        </w:tc>
      </w:tr>
      <w:tr w:rsidR="00670EFE" w:rsidRPr="00670EFE" w:rsidTr="00450552">
        <w:trPr>
          <w:trHeight w:val="270"/>
          <w:tblCellSpacing w:w="0" w:type="dxa"/>
          <w:jc w:val="center"/>
        </w:trPr>
        <w:tc>
          <w:tcPr>
            <w:tcW w:w="0" w:type="auto"/>
            <w:vAlign w:val="center"/>
          </w:tcPr>
          <w:p w:rsidR="00670EFE" w:rsidRPr="00670EFE" w:rsidRDefault="00670EFE" w:rsidP="00BE736F">
            <w:pPr>
              <w:widowControl/>
              <w:suppressAutoHyphens w:val="0"/>
              <w:autoSpaceDN/>
              <w:spacing w:line="276" w:lineRule="auto"/>
              <w:jc w:val="center"/>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4,7</w:t>
            </w:r>
          </w:p>
        </w:tc>
        <w:tc>
          <w:tcPr>
            <w:tcW w:w="0" w:type="auto"/>
            <w:vAlign w:val="center"/>
          </w:tcPr>
          <w:p w:rsidR="00670EFE" w:rsidRPr="00670EFE" w:rsidRDefault="00670EFE" w:rsidP="00BE736F">
            <w:pPr>
              <w:widowControl/>
              <w:suppressAutoHyphens w:val="0"/>
              <w:autoSpaceDN/>
              <w:spacing w:line="276" w:lineRule="auto"/>
              <w:jc w:val="right"/>
              <w:textAlignment w:val="auto"/>
              <w:rPr>
                <w:rFonts w:ascii="Garamond" w:eastAsia="Arial Unicode MS" w:hAnsi="Garamond" w:cs="Arial Unicode MS"/>
                <w:color w:val="000000"/>
                <w:kern w:val="0"/>
                <w:lang w:eastAsia="pt-BR" w:bidi="ar-SA"/>
              </w:rPr>
            </w:pPr>
            <w:r w:rsidRPr="00670EFE">
              <w:rPr>
                <w:rFonts w:ascii="Garamond" w:eastAsia="Times New Roman" w:hAnsi="Garamond" w:cs="Times New Roman"/>
                <w:kern w:val="0"/>
                <w:lang w:eastAsia="pt-BR" w:bidi="ar-SA"/>
              </w:rPr>
              <w:t xml:space="preserve">R$ 255.000,00 </w:t>
            </w:r>
          </w:p>
        </w:tc>
        <w:tc>
          <w:tcPr>
            <w:tcW w:w="0" w:type="auto"/>
            <w:vAlign w:val="center"/>
          </w:tcPr>
          <w:p w:rsidR="00670EFE" w:rsidRPr="00670EFE" w:rsidRDefault="00670EFE" w:rsidP="00BE736F">
            <w:pPr>
              <w:widowControl/>
              <w:suppressAutoHyphens w:val="0"/>
              <w:autoSpaceDN/>
              <w:spacing w:line="276" w:lineRule="auto"/>
              <w:textAlignment w:val="auto"/>
              <w:rPr>
                <w:rFonts w:ascii="Garamond" w:eastAsia="Arial Unicode MS" w:hAnsi="Garamond" w:cs="Arial Unicode MS"/>
                <w:color w:val="000000"/>
                <w:kern w:val="0"/>
                <w:lang w:eastAsia="pt-BR" w:bidi="ar-SA"/>
              </w:rPr>
            </w:pPr>
          </w:p>
        </w:tc>
        <w:tc>
          <w:tcPr>
            <w:tcW w:w="0" w:type="auto"/>
            <w:vAlign w:val="center"/>
          </w:tcPr>
          <w:p w:rsidR="00670EFE" w:rsidRPr="00670EFE" w:rsidRDefault="00670EFE" w:rsidP="00BE736F">
            <w:pPr>
              <w:widowControl/>
              <w:suppressAutoHyphens w:val="0"/>
              <w:autoSpaceDN/>
              <w:spacing w:line="276" w:lineRule="auto"/>
              <w:textAlignment w:val="auto"/>
              <w:rPr>
                <w:rFonts w:ascii="Garamond" w:eastAsia="Arial Unicode MS" w:hAnsi="Garamond" w:cs="Arial Unicode MS"/>
                <w:color w:val="000000"/>
                <w:kern w:val="0"/>
                <w:lang w:eastAsia="pt-BR" w:bidi="ar-SA"/>
              </w:rPr>
            </w:pPr>
          </w:p>
        </w:tc>
      </w:tr>
    </w:tbl>
    <w:p w:rsidR="00EC421D" w:rsidRDefault="00EC421D" w:rsidP="00BE736F">
      <w:pPr>
        <w:widowControl/>
        <w:suppressAutoHyphens w:val="0"/>
        <w:autoSpaceDN/>
        <w:spacing w:line="276" w:lineRule="auto"/>
        <w:jc w:val="center"/>
        <w:textAlignment w:val="auto"/>
        <w:rPr>
          <w:rFonts w:ascii="Garamond" w:eastAsia="Times New Roman" w:hAnsi="Garamond" w:cs="Times New Roman"/>
          <w:kern w:val="0"/>
          <w:lang w:eastAsia="pt-BR" w:bidi="ar-SA"/>
        </w:rPr>
      </w:pPr>
    </w:p>
    <w:p w:rsidR="00EC421D" w:rsidRDefault="00EC421D" w:rsidP="00EC421D">
      <w:pPr>
        <w:pStyle w:val="Standard"/>
        <w:rPr>
          <w:lang w:eastAsia="pt-BR"/>
        </w:rPr>
      </w:pPr>
      <w:r>
        <w:rPr>
          <w:lang w:eastAsia="pt-BR"/>
        </w:rPr>
        <w:br w:type="page"/>
      </w:r>
    </w:p>
    <w:p w:rsidR="00EC421D" w:rsidRPr="00670EFE" w:rsidRDefault="00EC421D" w:rsidP="00EC421D">
      <w:pPr>
        <w:widowControl/>
        <w:shd w:val="clear" w:color="auto" w:fill="FFFFFF"/>
        <w:suppressAutoHyphens w:val="0"/>
        <w:autoSpaceDN/>
        <w:spacing w:before="100" w:beforeAutospacing="1" w:after="100" w:afterAutospacing="1" w:line="276" w:lineRule="auto"/>
        <w:jc w:val="center"/>
        <w:textAlignment w:val="auto"/>
        <w:rPr>
          <w:rFonts w:ascii="Garamond" w:eastAsia="Arial Unicode MS" w:hAnsi="Garamond" w:cs="Arial"/>
          <w:b/>
          <w:bCs/>
          <w:color w:val="313131"/>
          <w:kern w:val="0"/>
          <w:lang w:eastAsia="pt-BR" w:bidi="ar-SA"/>
        </w:rPr>
      </w:pPr>
      <w:r>
        <w:rPr>
          <w:rFonts w:ascii="Garamond" w:eastAsia="Arial Unicode MS" w:hAnsi="Garamond" w:cs="Arial"/>
          <w:b/>
          <w:bCs/>
          <w:color w:val="313131"/>
          <w:kern w:val="0"/>
          <w:lang w:eastAsia="pt-BR" w:bidi="ar-SA"/>
        </w:rPr>
        <w:lastRenderedPageBreak/>
        <w:t>ANEXO 3</w:t>
      </w:r>
    </w:p>
    <w:p w:rsidR="00D143C7" w:rsidRPr="00D143C7" w:rsidRDefault="00D143C7" w:rsidP="00D143C7">
      <w:pPr>
        <w:widowControl/>
        <w:suppressAutoHyphens w:val="0"/>
        <w:autoSpaceDN/>
        <w:jc w:val="center"/>
        <w:textAlignment w:val="auto"/>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ROTEIRO PARA ELABORAÇÃO DO REGISTRO HISTÓRICO DOCUME</w:t>
      </w:r>
      <w:r w:rsidRPr="00D143C7">
        <w:rPr>
          <w:rFonts w:ascii="Garamond" w:eastAsia="Times New Roman" w:hAnsi="Garamond" w:cs="Tahoma"/>
          <w:b/>
          <w:bCs/>
          <w:kern w:val="0"/>
          <w:lang w:eastAsia="pt-BR" w:bidi="ar-SA"/>
        </w:rPr>
        <w:t>N</w:t>
      </w:r>
      <w:r w:rsidRPr="00D143C7">
        <w:rPr>
          <w:rFonts w:ascii="Garamond" w:eastAsia="Times New Roman" w:hAnsi="Garamond" w:cs="Tahoma"/>
          <w:b/>
          <w:bCs/>
          <w:kern w:val="0"/>
          <w:lang w:eastAsia="pt-BR" w:bidi="ar-SA"/>
        </w:rPr>
        <w:t xml:space="preserve">TAL </w:t>
      </w:r>
    </w:p>
    <w:p w:rsidR="00D143C7" w:rsidRPr="00D143C7" w:rsidRDefault="00D143C7" w:rsidP="00D143C7">
      <w:pPr>
        <w:widowControl/>
        <w:suppressAutoHyphens w:val="0"/>
        <w:autoSpaceDN/>
        <w:jc w:val="center"/>
        <w:textAlignment w:val="auto"/>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MODELO BELO HORIZONTE</w:t>
      </w:r>
    </w:p>
    <w:p w:rsidR="00D143C7" w:rsidRPr="00D143C7" w:rsidRDefault="00D143C7" w:rsidP="00D143C7">
      <w:pPr>
        <w:widowControl/>
        <w:suppressAutoHyphens w:val="0"/>
        <w:autoSpaceDN/>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APRESENTAÇÃO DO DOCUMENTO</w:t>
      </w:r>
    </w:p>
    <w:p w:rsidR="00D143C7" w:rsidRPr="00D143C7" w:rsidRDefault="00D143C7" w:rsidP="00D143C7">
      <w:pPr>
        <w:widowControl/>
        <w:numPr>
          <w:ilvl w:val="0"/>
          <w:numId w:val="18"/>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Pasta catálogo do formato A4</w:t>
      </w:r>
    </w:p>
    <w:p w:rsidR="00D143C7" w:rsidRPr="00D143C7" w:rsidRDefault="00D143C7" w:rsidP="00D143C7">
      <w:pPr>
        <w:widowControl/>
        <w:numPr>
          <w:ilvl w:val="0"/>
          <w:numId w:val="18"/>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Etiqueta de capa com endereço do imóvel (rua, número, bairro) sessão, quadra e l</w:t>
      </w:r>
      <w:r w:rsidRPr="00D143C7">
        <w:rPr>
          <w:rFonts w:ascii="Garamond" w:eastAsia="Times New Roman" w:hAnsi="Garamond" w:cs="Tahoma"/>
          <w:kern w:val="0"/>
          <w:lang w:eastAsia="pt-BR" w:bidi="ar-SA"/>
        </w:rPr>
        <w:t>o</w:t>
      </w:r>
      <w:r w:rsidRPr="00D143C7">
        <w:rPr>
          <w:rFonts w:ascii="Garamond" w:eastAsia="Times New Roman" w:hAnsi="Garamond" w:cs="Tahoma"/>
          <w:kern w:val="0"/>
          <w:lang w:eastAsia="pt-BR" w:bidi="ar-SA"/>
        </w:rPr>
        <w:t>te</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CONTEÚDO</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O Registro Documental deverá atender, de forma completa, aos seguintes requisitos:</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Apresentação</w:t>
      </w:r>
    </w:p>
    <w:p w:rsidR="00D143C7" w:rsidRPr="00D143C7" w:rsidRDefault="00D143C7" w:rsidP="00D143C7">
      <w:pPr>
        <w:widowControl/>
        <w:numPr>
          <w:ilvl w:val="0"/>
          <w:numId w:val="19"/>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Responsável pelo levantamento histórico</w:t>
      </w:r>
    </w:p>
    <w:p w:rsidR="00D143C7" w:rsidRPr="00D143C7" w:rsidRDefault="00D143C7" w:rsidP="00D143C7">
      <w:pPr>
        <w:widowControl/>
        <w:numPr>
          <w:ilvl w:val="0"/>
          <w:numId w:val="19"/>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Responsável pelo levantamento arquitetônico</w:t>
      </w:r>
    </w:p>
    <w:p w:rsidR="00D143C7" w:rsidRPr="00D143C7" w:rsidRDefault="00D143C7" w:rsidP="00D143C7">
      <w:pPr>
        <w:widowControl/>
        <w:numPr>
          <w:ilvl w:val="0"/>
          <w:numId w:val="19"/>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Responsável pelo levantamento fotográfico</w:t>
      </w:r>
    </w:p>
    <w:p w:rsidR="00D143C7" w:rsidRPr="00D143C7" w:rsidRDefault="00D143C7" w:rsidP="00D143C7">
      <w:pPr>
        <w:widowControl/>
        <w:numPr>
          <w:ilvl w:val="0"/>
          <w:numId w:val="19"/>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Cópia da carta de grau de proteção na qual é solicitada a elaboração do registro d</w:t>
      </w:r>
      <w:r w:rsidRPr="00D143C7">
        <w:rPr>
          <w:rFonts w:ascii="Garamond" w:eastAsia="Times New Roman" w:hAnsi="Garamond" w:cs="Tahoma"/>
          <w:kern w:val="0"/>
          <w:lang w:eastAsia="pt-BR" w:bidi="ar-SA"/>
        </w:rPr>
        <w:t>o</w:t>
      </w:r>
      <w:r w:rsidRPr="00D143C7">
        <w:rPr>
          <w:rFonts w:ascii="Garamond" w:eastAsia="Times New Roman" w:hAnsi="Garamond" w:cs="Tahoma"/>
          <w:kern w:val="0"/>
          <w:lang w:eastAsia="pt-BR" w:bidi="ar-SA"/>
        </w:rPr>
        <w:t>cumental do imóvel</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Identificação do imóvel</w:t>
      </w:r>
    </w:p>
    <w:p w:rsidR="00D143C7" w:rsidRPr="00D143C7" w:rsidRDefault="00D143C7" w:rsidP="00D143C7">
      <w:pPr>
        <w:widowControl/>
        <w:numPr>
          <w:ilvl w:val="0"/>
          <w:numId w:val="20"/>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Nome(s) do(s) proprietário(s) atual(s)</w:t>
      </w:r>
    </w:p>
    <w:p w:rsidR="00D143C7" w:rsidRPr="00D143C7" w:rsidRDefault="00D143C7" w:rsidP="00D143C7">
      <w:pPr>
        <w:widowControl/>
        <w:numPr>
          <w:ilvl w:val="0"/>
          <w:numId w:val="20"/>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Apresentação das cópias em papel do projeto original ou cópia em papel do micr</w:t>
      </w:r>
      <w:r w:rsidRPr="00D143C7">
        <w:rPr>
          <w:rFonts w:ascii="Garamond" w:eastAsia="Times New Roman" w:hAnsi="Garamond" w:cs="Tahoma"/>
          <w:kern w:val="0"/>
          <w:lang w:eastAsia="pt-BR" w:bidi="ar-SA"/>
        </w:rPr>
        <w:t>o</w:t>
      </w:r>
      <w:r w:rsidRPr="00D143C7">
        <w:rPr>
          <w:rFonts w:ascii="Garamond" w:eastAsia="Times New Roman" w:hAnsi="Garamond" w:cs="Tahoma"/>
          <w:kern w:val="0"/>
          <w:lang w:eastAsia="pt-BR" w:bidi="ar-SA"/>
        </w:rPr>
        <w:t>filme</w:t>
      </w:r>
      <w:r w:rsidRPr="00D143C7">
        <w:rPr>
          <w:rFonts w:ascii="Garamond" w:eastAsia="Times New Roman" w:hAnsi="Garamond" w:cs="Tahoma"/>
          <w:kern w:val="0"/>
          <w:vertAlign w:val="superscript"/>
          <w:lang w:eastAsia="pt-BR" w:bidi="ar-SA"/>
        </w:rPr>
        <w:footnoteReference w:id="17"/>
      </w:r>
      <w:r w:rsidRPr="00D143C7">
        <w:rPr>
          <w:rFonts w:ascii="Garamond" w:eastAsia="Times New Roman" w:hAnsi="Garamond" w:cs="Tahoma"/>
          <w:kern w:val="0"/>
          <w:lang w:eastAsia="pt-BR" w:bidi="ar-SA"/>
        </w:rPr>
        <w:t xml:space="preserve"> das modificações posteriores (se for o caso) e levantamento arquitetônico atual em escala com plantas, 2 cortes, 4 fachadas e indicação de materiais, tais como piso, teto, paredes, cobertura (telhado cerâmico, laje, telha plana, </w:t>
      </w:r>
      <w:proofErr w:type="spellStart"/>
      <w:r w:rsidRPr="00D143C7">
        <w:rPr>
          <w:rFonts w:ascii="Garamond" w:eastAsia="Times New Roman" w:hAnsi="Garamond" w:cs="Tahoma"/>
          <w:kern w:val="0"/>
          <w:lang w:eastAsia="pt-BR" w:bidi="ar-SA"/>
        </w:rPr>
        <w:t>etc</w:t>
      </w:r>
      <w:proofErr w:type="spellEnd"/>
      <w:r w:rsidRPr="00D143C7">
        <w:rPr>
          <w:rFonts w:ascii="Garamond" w:eastAsia="Times New Roman" w:hAnsi="Garamond" w:cs="Tahoma"/>
          <w:kern w:val="0"/>
          <w:lang w:eastAsia="pt-BR" w:bidi="ar-SA"/>
        </w:rPr>
        <w:t>)</w:t>
      </w:r>
    </w:p>
    <w:p w:rsidR="00D143C7" w:rsidRPr="00D143C7" w:rsidRDefault="00D143C7" w:rsidP="00D143C7">
      <w:pPr>
        <w:widowControl/>
        <w:numPr>
          <w:ilvl w:val="0"/>
          <w:numId w:val="20"/>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Cópia do registro do imóvel no Cartório competente</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roofErr w:type="gramStart"/>
      <w:r w:rsidRPr="00D143C7">
        <w:rPr>
          <w:rFonts w:ascii="Garamond" w:eastAsia="Times New Roman" w:hAnsi="Garamond" w:cs="Tahoma"/>
          <w:kern w:val="0"/>
          <w:lang w:eastAsia="pt-BR" w:bidi="ar-SA"/>
        </w:rPr>
        <w:t>Obs. :</w:t>
      </w:r>
      <w:proofErr w:type="gramEnd"/>
      <w:r w:rsidRPr="00D143C7">
        <w:rPr>
          <w:rFonts w:ascii="Garamond" w:eastAsia="Times New Roman" w:hAnsi="Garamond" w:cs="Tahoma"/>
          <w:kern w:val="0"/>
          <w:lang w:eastAsia="pt-BR" w:bidi="ar-SA"/>
        </w:rPr>
        <w:t xml:space="preserve"> O levantamento arquitetônico deve ser elaborado seguindo normas da ABNT.</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Histórico do imóvel</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Indicação do arquiteto/engenheiro responsável pelo projeto e/ou construção, bem como data da sua edificação e/ou aprovação</w:t>
      </w:r>
      <w:r w:rsidRPr="00D143C7">
        <w:rPr>
          <w:rFonts w:ascii="Garamond" w:eastAsia="Times New Roman" w:hAnsi="Garamond" w:cs="Tahoma"/>
          <w:kern w:val="0"/>
          <w:vertAlign w:val="superscript"/>
          <w:lang w:eastAsia="pt-BR" w:bidi="ar-SA"/>
        </w:rPr>
        <w:footnoteReference w:id="18"/>
      </w:r>
      <w:r w:rsidRPr="00D143C7">
        <w:rPr>
          <w:rFonts w:ascii="Garamond" w:eastAsia="Times New Roman" w:hAnsi="Garamond" w:cs="Tahoma"/>
          <w:kern w:val="0"/>
          <w:lang w:eastAsia="pt-BR" w:bidi="ar-SA"/>
        </w:rPr>
        <w:t>.</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Usos originais e posteriores, tais como residencial, serviço, comercial ou misto (no caso de uso comercial ou de serviço, identificar as atividades realizadas e o nome do estabelecimento comercial)</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Identificação do primeiro proprietário e de todos os posteriores, com a data em que ocuparam o imóvel</w:t>
      </w:r>
      <w:r>
        <w:rPr>
          <w:rFonts w:ascii="Garamond" w:eastAsia="Times New Roman" w:hAnsi="Garamond" w:cs="Tahoma"/>
          <w:kern w:val="0"/>
          <w:lang w:eastAsia="pt-BR" w:bidi="ar-SA"/>
        </w:rPr>
        <w:t>.</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lastRenderedPageBreak/>
        <w:t>Informações históricas sobre as famílias que ocuparam o imóvel, tais como me</w:t>
      </w:r>
      <w:r w:rsidRPr="00D143C7">
        <w:rPr>
          <w:rFonts w:ascii="Garamond" w:eastAsia="Times New Roman" w:hAnsi="Garamond" w:cs="Tahoma"/>
          <w:kern w:val="0"/>
          <w:lang w:eastAsia="pt-BR" w:bidi="ar-SA"/>
        </w:rPr>
        <w:t>m</w:t>
      </w:r>
      <w:r w:rsidRPr="00D143C7">
        <w:rPr>
          <w:rFonts w:ascii="Garamond" w:eastAsia="Times New Roman" w:hAnsi="Garamond" w:cs="Tahoma"/>
          <w:kern w:val="0"/>
          <w:lang w:eastAsia="pt-BR" w:bidi="ar-SA"/>
        </w:rPr>
        <w:t>bros que compunham o núcleo familiar, atividades profissionais, relações estabel</w:t>
      </w:r>
      <w:r w:rsidRPr="00D143C7">
        <w:rPr>
          <w:rFonts w:ascii="Garamond" w:eastAsia="Times New Roman" w:hAnsi="Garamond" w:cs="Tahoma"/>
          <w:kern w:val="0"/>
          <w:lang w:eastAsia="pt-BR" w:bidi="ar-SA"/>
        </w:rPr>
        <w:t>e</w:t>
      </w:r>
      <w:r w:rsidRPr="00D143C7">
        <w:rPr>
          <w:rFonts w:ascii="Garamond" w:eastAsia="Times New Roman" w:hAnsi="Garamond" w:cs="Tahoma"/>
          <w:kern w:val="0"/>
          <w:lang w:eastAsia="pt-BR" w:bidi="ar-SA"/>
        </w:rPr>
        <w:t xml:space="preserve">cidas com o bairro (lugares que </w:t>
      </w:r>
      <w:proofErr w:type="spellStart"/>
      <w:r w:rsidRPr="00D143C7">
        <w:rPr>
          <w:rFonts w:ascii="Garamond" w:eastAsia="Times New Roman" w:hAnsi="Garamond" w:cs="Tahoma"/>
          <w:kern w:val="0"/>
          <w:lang w:eastAsia="pt-BR" w:bidi="ar-SA"/>
        </w:rPr>
        <w:t>freqüentavam</w:t>
      </w:r>
      <w:proofErr w:type="spellEnd"/>
      <w:r w:rsidRPr="00D143C7">
        <w:rPr>
          <w:rFonts w:ascii="Garamond" w:eastAsia="Times New Roman" w:hAnsi="Garamond" w:cs="Tahoma"/>
          <w:kern w:val="0"/>
          <w:lang w:eastAsia="pt-BR" w:bidi="ar-SA"/>
        </w:rPr>
        <w:t xml:space="preserve"> como igreja, escolas, espaços de lazer e comércio)</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Descrição histórica sobre o entorno imediato do imóvel (rua e vizinhança), seu processo de ocupação, transformações (físicas e sociais)</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Reprodução de fotos antigas do imóvel, do seu entorno imediato e das famílias que ocuparam</w:t>
      </w:r>
    </w:p>
    <w:p w:rsidR="00D143C7" w:rsidRP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Para os imóveis que são ou já foram de uso coletivo (bares, teatros, cinemas, esc</w:t>
      </w:r>
      <w:r w:rsidRPr="00D143C7">
        <w:rPr>
          <w:rFonts w:ascii="Garamond" w:eastAsia="Times New Roman" w:hAnsi="Garamond" w:cs="Tahoma"/>
          <w:kern w:val="0"/>
          <w:lang w:eastAsia="pt-BR" w:bidi="ar-SA"/>
        </w:rPr>
        <w:t>o</w:t>
      </w:r>
      <w:r w:rsidRPr="00D143C7">
        <w:rPr>
          <w:rFonts w:ascii="Garamond" w:eastAsia="Times New Roman" w:hAnsi="Garamond" w:cs="Tahoma"/>
          <w:kern w:val="0"/>
          <w:lang w:eastAsia="pt-BR" w:bidi="ar-SA"/>
        </w:rPr>
        <w:t>las, casas comerciais e industriais, galerias de arte, por exemplo) apresentar material histórico informativo referente ao período de funcionamento, desde sua inaugur</w:t>
      </w:r>
      <w:r w:rsidRPr="00D143C7">
        <w:rPr>
          <w:rFonts w:ascii="Garamond" w:eastAsia="Times New Roman" w:hAnsi="Garamond" w:cs="Tahoma"/>
          <w:kern w:val="0"/>
          <w:lang w:eastAsia="pt-BR" w:bidi="ar-SA"/>
        </w:rPr>
        <w:t>a</w:t>
      </w:r>
      <w:r w:rsidRPr="00D143C7">
        <w:rPr>
          <w:rFonts w:ascii="Garamond" w:eastAsia="Times New Roman" w:hAnsi="Garamond" w:cs="Tahoma"/>
          <w:kern w:val="0"/>
          <w:lang w:eastAsia="pt-BR" w:bidi="ar-SA"/>
        </w:rPr>
        <w:t>ção (cartazes, programação, propagandas, fotos antigas, artigos de jornais e revistas, entrevistas, entre outros)</w:t>
      </w:r>
    </w:p>
    <w:p w:rsidR="00D143C7" w:rsidRDefault="00D143C7" w:rsidP="00D143C7">
      <w:pPr>
        <w:widowControl/>
        <w:numPr>
          <w:ilvl w:val="0"/>
          <w:numId w:val="21"/>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No caso de imóveis que possuem acervo (mobiliário de época, painéis, vitrais, qu</w:t>
      </w:r>
      <w:r w:rsidRPr="00D143C7">
        <w:rPr>
          <w:rFonts w:ascii="Garamond" w:eastAsia="Times New Roman" w:hAnsi="Garamond" w:cs="Tahoma"/>
          <w:kern w:val="0"/>
          <w:lang w:eastAsia="pt-BR" w:bidi="ar-SA"/>
        </w:rPr>
        <w:t>a</w:t>
      </w:r>
      <w:r w:rsidRPr="00D143C7">
        <w:rPr>
          <w:rFonts w:ascii="Garamond" w:eastAsia="Times New Roman" w:hAnsi="Garamond" w:cs="Tahoma"/>
          <w:kern w:val="0"/>
          <w:lang w:eastAsia="pt-BR" w:bidi="ar-SA"/>
        </w:rPr>
        <w:t>dros, esculturas, entre outros) identificar, se possível, dimensões, materiais, autoria e fotos.</w:t>
      </w:r>
    </w:p>
    <w:p w:rsidR="00D143C7" w:rsidRPr="00D143C7" w:rsidRDefault="00D143C7" w:rsidP="00D143C7">
      <w:pPr>
        <w:widowControl/>
        <w:suppressAutoHyphens w:val="0"/>
        <w:autoSpaceDN/>
        <w:spacing w:line="276" w:lineRule="auto"/>
        <w:ind w:left="720"/>
        <w:jc w:val="both"/>
        <w:textAlignment w:val="auto"/>
        <w:rPr>
          <w:rFonts w:ascii="Garamond" w:eastAsia="Times New Roman" w:hAnsi="Garamond" w:cs="Tahoma"/>
          <w:kern w:val="0"/>
          <w:lang w:eastAsia="pt-BR" w:bidi="ar-SA"/>
        </w:rPr>
      </w:pPr>
    </w:p>
    <w:p w:rsid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roofErr w:type="gramStart"/>
      <w:r w:rsidRPr="00D143C7">
        <w:rPr>
          <w:rFonts w:ascii="Garamond" w:eastAsia="Times New Roman" w:hAnsi="Garamond" w:cs="Tahoma"/>
          <w:kern w:val="0"/>
          <w:lang w:eastAsia="pt-BR" w:bidi="ar-SA"/>
        </w:rPr>
        <w:t>Obs. :</w:t>
      </w:r>
      <w:proofErr w:type="gramEnd"/>
      <w:r w:rsidRPr="00D143C7">
        <w:rPr>
          <w:rFonts w:ascii="Garamond" w:eastAsia="Times New Roman" w:hAnsi="Garamond" w:cs="Tahoma"/>
          <w:kern w:val="0"/>
          <w:lang w:eastAsia="pt-BR" w:bidi="ar-SA"/>
        </w:rPr>
        <w:t xml:space="preserve"> Para realização da pesquisa histórica, as informações devem ser obtidas primeir</w:t>
      </w:r>
      <w:r w:rsidRPr="00D143C7">
        <w:rPr>
          <w:rFonts w:ascii="Garamond" w:eastAsia="Times New Roman" w:hAnsi="Garamond" w:cs="Tahoma"/>
          <w:kern w:val="0"/>
          <w:lang w:eastAsia="pt-BR" w:bidi="ar-SA"/>
        </w:rPr>
        <w:t>a</w:t>
      </w:r>
      <w:r w:rsidRPr="00D143C7">
        <w:rPr>
          <w:rFonts w:ascii="Garamond" w:eastAsia="Times New Roman" w:hAnsi="Garamond" w:cs="Tahoma"/>
          <w:kern w:val="0"/>
          <w:lang w:eastAsia="pt-BR" w:bidi="ar-SA"/>
        </w:rPr>
        <w:t xml:space="preserve">mente a partir da entrevista com os moradores e/ou </w:t>
      </w:r>
      <w:proofErr w:type="spellStart"/>
      <w:r w:rsidRPr="00D143C7">
        <w:rPr>
          <w:rFonts w:ascii="Garamond" w:eastAsia="Times New Roman" w:hAnsi="Garamond" w:cs="Tahoma"/>
          <w:kern w:val="0"/>
          <w:lang w:eastAsia="pt-BR" w:bidi="ar-SA"/>
        </w:rPr>
        <w:t>ex</w:t>
      </w:r>
      <w:proofErr w:type="spellEnd"/>
      <w:r w:rsidRPr="00D143C7">
        <w:rPr>
          <w:rFonts w:ascii="Garamond" w:eastAsia="Times New Roman" w:hAnsi="Garamond" w:cs="Tahoma"/>
          <w:kern w:val="0"/>
          <w:lang w:eastAsia="pt-BR" w:bidi="ar-SA"/>
        </w:rPr>
        <w:t xml:space="preserve"> moradores do imóvel e com a ant</w:t>
      </w:r>
      <w:r w:rsidRPr="00D143C7">
        <w:rPr>
          <w:rFonts w:ascii="Garamond" w:eastAsia="Times New Roman" w:hAnsi="Garamond" w:cs="Tahoma"/>
          <w:kern w:val="0"/>
          <w:lang w:eastAsia="pt-BR" w:bidi="ar-SA"/>
        </w:rPr>
        <w:t>i</w:t>
      </w:r>
      <w:r w:rsidRPr="00D143C7">
        <w:rPr>
          <w:rFonts w:ascii="Garamond" w:eastAsia="Times New Roman" w:hAnsi="Garamond" w:cs="Tahoma"/>
          <w:kern w:val="0"/>
          <w:lang w:eastAsia="pt-BR" w:bidi="ar-SA"/>
        </w:rPr>
        <w:t>ga vizinhança</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As entrevistas realizadas devem ser transcritas na íntegra e anexadas ao registro docume</w:t>
      </w:r>
      <w:r w:rsidRPr="00D143C7">
        <w:rPr>
          <w:rFonts w:ascii="Garamond" w:eastAsia="Times New Roman" w:hAnsi="Garamond" w:cs="Tahoma"/>
          <w:kern w:val="0"/>
          <w:lang w:eastAsia="pt-BR" w:bidi="ar-SA"/>
        </w:rPr>
        <w:t>n</w:t>
      </w:r>
      <w:r w:rsidRPr="00D143C7">
        <w:rPr>
          <w:rFonts w:ascii="Garamond" w:eastAsia="Times New Roman" w:hAnsi="Garamond" w:cs="Tahoma"/>
          <w:kern w:val="0"/>
          <w:lang w:eastAsia="pt-BR" w:bidi="ar-SA"/>
        </w:rPr>
        <w:t>tal. Todas as informações obtidas devem ter a sua fonte (entrevista, artigos de jornais, l</w:t>
      </w:r>
      <w:r w:rsidRPr="00D143C7">
        <w:rPr>
          <w:rFonts w:ascii="Garamond" w:eastAsia="Times New Roman" w:hAnsi="Garamond" w:cs="Tahoma"/>
          <w:kern w:val="0"/>
          <w:lang w:eastAsia="pt-BR" w:bidi="ar-SA"/>
        </w:rPr>
        <w:t>i</w:t>
      </w:r>
      <w:r w:rsidRPr="00D143C7">
        <w:rPr>
          <w:rFonts w:ascii="Garamond" w:eastAsia="Times New Roman" w:hAnsi="Garamond" w:cs="Tahoma"/>
          <w:kern w:val="0"/>
          <w:lang w:eastAsia="pt-BR" w:bidi="ar-SA"/>
        </w:rPr>
        <w:t>vros) devidamente citadas com referencia bibliográfica. As cópias dos artigos de jornais e revistas, se possível, devem ser anexadas ao registro.</w:t>
      </w: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
    <w:p w:rsidR="00D143C7" w:rsidRPr="00D143C7" w:rsidRDefault="00D143C7" w:rsidP="00D143C7">
      <w:pPr>
        <w:keepNext/>
        <w:widowControl/>
        <w:suppressAutoHyphens w:val="0"/>
        <w:autoSpaceDN/>
        <w:spacing w:line="276" w:lineRule="auto"/>
        <w:jc w:val="both"/>
        <w:textAlignment w:val="auto"/>
        <w:outlineLvl w:val="0"/>
        <w:rPr>
          <w:rFonts w:ascii="Garamond" w:eastAsia="Times New Roman" w:hAnsi="Garamond" w:cs="Tahoma"/>
          <w:b/>
          <w:bCs/>
          <w:kern w:val="0"/>
          <w:lang w:eastAsia="pt-BR" w:bidi="ar-SA"/>
        </w:rPr>
      </w:pPr>
      <w:r w:rsidRPr="00D143C7">
        <w:rPr>
          <w:rFonts w:ascii="Garamond" w:eastAsia="Times New Roman" w:hAnsi="Garamond" w:cs="Tahoma"/>
          <w:b/>
          <w:bCs/>
          <w:kern w:val="0"/>
          <w:lang w:eastAsia="pt-BR" w:bidi="ar-SA"/>
        </w:rPr>
        <w:t>Registro fotográfico</w:t>
      </w:r>
    </w:p>
    <w:p w:rsidR="00D143C7" w:rsidRPr="00D143C7" w:rsidRDefault="00D143C7" w:rsidP="00D143C7">
      <w:pPr>
        <w:widowControl/>
        <w:numPr>
          <w:ilvl w:val="0"/>
          <w:numId w:val="22"/>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Vista geral do conjunto, mostrando a edificação entre as construções vizinhas mais próximas. Se possível deve ser feita fotografia a partir de algum edifício vizinho mais alto, mostrando sua implantação.</w:t>
      </w:r>
    </w:p>
    <w:p w:rsidR="00D143C7" w:rsidRPr="00D143C7" w:rsidRDefault="00D143C7" w:rsidP="00D143C7">
      <w:pPr>
        <w:widowControl/>
        <w:numPr>
          <w:ilvl w:val="0"/>
          <w:numId w:val="22"/>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 xml:space="preserve">Fachadas frontal, laterais e </w:t>
      </w:r>
      <w:proofErr w:type="spellStart"/>
      <w:r w:rsidRPr="00D143C7">
        <w:rPr>
          <w:rFonts w:ascii="Garamond" w:eastAsia="Times New Roman" w:hAnsi="Garamond" w:cs="Tahoma"/>
          <w:kern w:val="0"/>
          <w:lang w:eastAsia="pt-BR" w:bidi="ar-SA"/>
        </w:rPr>
        <w:t>posterio</w:t>
      </w:r>
      <w:proofErr w:type="spellEnd"/>
      <w:r w:rsidRPr="00D143C7">
        <w:rPr>
          <w:rFonts w:ascii="Garamond" w:eastAsia="Times New Roman" w:hAnsi="Garamond" w:cs="Tahoma"/>
          <w:kern w:val="0"/>
          <w:lang w:eastAsia="pt-BR" w:bidi="ar-SA"/>
        </w:rPr>
        <w:t>, destacando os elementos compositivos, tais como acesso, esquadrias, varandas, sacadas, colunas, pisos, revestimentos, orn</w:t>
      </w:r>
      <w:r w:rsidRPr="00D143C7">
        <w:rPr>
          <w:rFonts w:ascii="Garamond" w:eastAsia="Times New Roman" w:hAnsi="Garamond" w:cs="Tahoma"/>
          <w:kern w:val="0"/>
          <w:lang w:eastAsia="pt-BR" w:bidi="ar-SA"/>
        </w:rPr>
        <w:t>a</w:t>
      </w:r>
      <w:r w:rsidRPr="00D143C7">
        <w:rPr>
          <w:rFonts w:ascii="Garamond" w:eastAsia="Times New Roman" w:hAnsi="Garamond" w:cs="Tahoma"/>
          <w:kern w:val="0"/>
          <w:lang w:eastAsia="pt-BR" w:bidi="ar-SA"/>
        </w:rPr>
        <w:t>mentos, etc.</w:t>
      </w:r>
    </w:p>
    <w:p w:rsidR="00D143C7" w:rsidRPr="00D143C7" w:rsidRDefault="00D143C7" w:rsidP="00D143C7">
      <w:pPr>
        <w:widowControl/>
        <w:numPr>
          <w:ilvl w:val="0"/>
          <w:numId w:val="22"/>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Interior: devem ser fotografados todos os cômodos, sem exceção, destacando-se também todos os elementos característicos do imóvel, inclusive mobiliário.</w:t>
      </w:r>
    </w:p>
    <w:p w:rsidR="00D143C7" w:rsidRDefault="00D143C7" w:rsidP="00D143C7">
      <w:pPr>
        <w:widowControl/>
        <w:numPr>
          <w:ilvl w:val="0"/>
          <w:numId w:val="22"/>
        </w:numPr>
        <w:suppressAutoHyphens w:val="0"/>
        <w:autoSpaceDN/>
        <w:spacing w:line="276" w:lineRule="auto"/>
        <w:jc w:val="both"/>
        <w:textAlignment w:val="auto"/>
        <w:rPr>
          <w:rFonts w:ascii="Garamond" w:eastAsia="Times New Roman" w:hAnsi="Garamond" w:cs="Tahoma"/>
          <w:kern w:val="0"/>
          <w:lang w:eastAsia="pt-BR" w:bidi="ar-SA"/>
        </w:rPr>
      </w:pPr>
      <w:r w:rsidRPr="00D143C7">
        <w:rPr>
          <w:rFonts w:ascii="Garamond" w:eastAsia="Times New Roman" w:hAnsi="Garamond" w:cs="Tahoma"/>
          <w:kern w:val="0"/>
          <w:lang w:eastAsia="pt-BR" w:bidi="ar-SA"/>
        </w:rPr>
        <w:t>Devem ser indicadas em planta a posição e o ângulo de onde foi feita a foto.</w:t>
      </w:r>
    </w:p>
    <w:p w:rsidR="00D143C7" w:rsidRPr="00D143C7" w:rsidRDefault="00D143C7" w:rsidP="00D143C7">
      <w:pPr>
        <w:widowControl/>
        <w:suppressAutoHyphens w:val="0"/>
        <w:autoSpaceDN/>
        <w:spacing w:line="276" w:lineRule="auto"/>
        <w:ind w:left="720"/>
        <w:jc w:val="both"/>
        <w:textAlignment w:val="auto"/>
        <w:rPr>
          <w:rFonts w:ascii="Garamond" w:eastAsia="Times New Roman" w:hAnsi="Garamond" w:cs="Tahoma"/>
          <w:kern w:val="0"/>
          <w:lang w:eastAsia="pt-BR" w:bidi="ar-SA"/>
        </w:rPr>
      </w:pPr>
    </w:p>
    <w:p w:rsidR="00D143C7" w:rsidRPr="00D143C7" w:rsidRDefault="00D143C7" w:rsidP="00D143C7">
      <w:pPr>
        <w:widowControl/>
        <w:suppressAutoHyphens w:val="0"/>
        <w:autoSpaceDN/>
        <w:spacing w:line="276" w:lineRule="auto"/>
        <w:jc w:val="both"/>
        <w:textAlignment w:val="auto"/>
        <w:rPr>
          <w:rFonts w:ascii="Garamond" w:eastAsia="Times New Roman" w:hAnsi="Garamond" w:cs="Tahoma"/>
          <w:kern w:val="0"/>
          <w:lang w:eastAsia="pt-BR" w:bidi="ar-SA"/>
        </w:rPr>
      </w:pPr>
      <w:proofErr w:type="spellStart"/>
      <w:r w:rsidRPr="00D143C7">
        <w:rPr>
          <w:rFonts w:ascii="Garamond" w:eastAsia="Times New Roman" w:hAnsi="Garamond" w:cs="Tahoma"/>
          <w:kern w:val="0"/>
          <w:lang w:eastAsia="pt-BR" w:bidi="ar-SA"/>
        </w:rPr>
        <w:t>Obs</w:t>
      </w:r>
      <w:proofErr w:type="spellEnd"/>
      <w:r w:rsidRPr="00D143C7">
        <w:rPr>
          <w:rFonts w:ascii="Garamond" w:eastAsia="Times New Roman" w:hAnsi="Garamond" w:cs="Tahoma"/>
          <w:kern w:val="0"/>
          <w:lang w:eastAsia="pt-BR" w:bidi="ar-SA"/>
        </w:rPr>
        <w:t>: Todas as fotos devem apresentar legendas de identificação do espaço e elemento f</w:t>
      </w:r>
      <w:r w:rsidRPr="00D143C7">
        <w:rPr>
          <w:rFonts w:ascii="Garamond" w:eastAsia="Times New Roman" w:hAnsi="Garamond" w:cs="Tahoma"/>
          <w:kern w:val="0"/>
          <w:lang w:eastAsia="pt-BR" w:bidi="ar-SA"/>
        </w:rPr>
        <w:t>o</w:t>
      </w:r>
      <w:r w:rsidRPr="00D143C7">
        <w:rPr>
          <w:rFonts w:ascii="Garamond" w:eastAsia="Times New Roman" w:hAnsi="Garamond" w:cs="Tahoma"/>
          <w:kern w:val="0"/>
          <w:lang w:eastAsia="pt-BR" w:bidi="ar-SA"/>
        </w:rPr>
        <w:t>tografado, além de data de sua realização.</w:t>
      </w:r>
    </w:p>
    <w:tbl>
      <w:tblPr>
        <w:tblW w:w="8495" w:type="dxa"/>
        <w:tblInd w:w="4" w:type="dxa"/>
        <w:tblLayout w:type="fixed"/>
        <w:tblCellMar>
          <w:left w:w="10" w:type="dxa"/>
          <w:right w:w="10" w:type="dxa"/>
        </w:tblCellMar>
        <w:tblLook w:val="0000" w:firstRow="0" w:lastRow="0" w:firstColumn="0" w:lastColumn="0" w:noHBand="0" w:noVBand="0"/>
      </w:tblPr>
      <w:tblGrid>
        <w:gridCol w:w="4268"/>
        <w:gridCol w:w="4227"/>
      </w:tblGrid>
      <w:tr w:rsidR="002B14BD" w:rsidRPr="00BE736F">
        <w:tc>
          <w:tcPr>
            <w:tcW w:w="4268" w:type="dxa"/>
            <w:tcMar>
              <w:top w:w="0" w:type="dxa"/>
              <w:left w:w="70" w:type="dxa"/>
              <w:bottom w:w="0" w:type="dxa"/>
              <w:right w:w="70" w:type="dxa"/>
            </w:tcMar>
          </w:tcPr>
          <w:p w:rsidR="002B14BD" w:rsidRPr="00BE736F" w:rsidRDefault="002B14BD" w:rsidP="00BE736F">
            <w:pPr>
              <w:pStyle w:val="Ttulo"/>
              <w:snapToGrid w:val="0"/>
              <w:spacing w:before="0" w:after="0" w:line="276" w:lineRule="auto"/>
              <w:rPr>
                <w:rFonts w:ascii="Garamond" w:hAnsi="Garamond" w:cs="Garamond"/>
                <w:sz w:val="24"/>
                <w:szCs w:val="24"/>
              </w:rPr>
            </w:pPr>
          </w:p>
        </w:tc>
        <w:tc>
          <w:tcPr>
            <w:tcW w:w="4227" w:type="dxa"/>
            <w:tcMar>
              <w:top w:w="0" w:type="dxa"/>
              <w:left w:w="70" w:type="dxa"/>
              <w:bottom w:w="0" w:type="dxa"/>
              <w:right w:w="70" w:type="dxa"/>
            </w:tcMar>
          </w:tcPr>
          <w:p w:rsidR="002B14BD" w:rsidRPr="00BE736F" w:rsidRDefault="002B14BD" w:rsidP="00BE736F">
            <w:pPr>
              <w:pStyle w:val="Ttulo"/>
              <w:snapToGrid w:val="0"/>
              <w:spacing w:before="0" w:after="0" w:line="276" w:lineRule="auto"/>
              <w:rPr>
                <w:rFonts w:ascii="Garamond" w:hAnsi="Garamond" w:cs="Garamond"/>
                <w:sz w:val="24"/>
                <w:szCs w:val="24"/>
              </w:rPr>
            </w:pPr>
          </w:p>
        </w:tc>
      </w:tr>
      <w:tr w:rsidR="002B14BD" w:rsidRPr="00BE736F">
        <w:tc>
          <w:tcPr>
            <w:tcW w:w="4268" w:type="dxa"/>
            <w:tcMar>
              <w:top w:w="0" w:type="dxa"/>
              <w:left w:w="70" w:type="dxa"/>
              <w:bottom w:w="0" w:type="dxa"/>
              <w:right w:w="70" w:type="dxa"/>
            </w:tcMar>
          </w:tcPr>
          <w:p w:rsidR="002B14BD" w:rsidRPr="00BE736F" w:rsidRDefault="002B14BD" w:rsidP="00BE736F">
            <w:pPr>
              <w:pStyle w:val="Ttulo"/>
              <w:spacing w:before="0" w:after="0" w:line="276" w:lineRule="auto"/>
              <w:rPr>
                <w:rFonts w:ascii="Garamond" w:hAnsi="Garamond" w:cs="Garamond"/>
                <w:sz w:val="24"/>
                <w:szCs w:val="24"/>
              </w:rPr>
            </w:pPr>
          </w:p>
        </w:tc>
        <w:tc>
          <w:tcPr>
            <w:tcW w:w="4227" w:type="dxa"/>
            <w:tcMar>
              <w:top w:w="0" w:type="dxa"/>
              <w:left w:w="70" w:type="dxa"/>
              <w:bottom w:w="0" w:type="dxa"/>
              <w:right w:w="70" w:type="dxa"/>
            </w:tcMar>
          </w:tcPr>
          <w:p w:rsidR="002B14BD" w:rsidRPr="00BE736F" w:rsidRDefault="002B14BD" w:rsidP="00BE736F">
            <w:pPr>
              <w:pStyle w:val="Ttulo"/>
              <w:spacing w:before="0" w:after="0" w:line="276" w:lineRule="auto"/>
              <w:rPr>
                <w:rFonts w:ascii="Garamond" w:hAnsi="Garamond" w:cs="Garamond"/>
                <w:sz w:val="24"/>
                <w:szCs w:val="24"/>
              </w:rPr>
            </w:pPr>
          </w:p>
        </w:tc>
      </w:tr>
    </w:tbl>
    <w:p w:rsidR="002B14BD" w:rsidRPr="00BE736F" w:rsidRDefault="002B14BD" w:rsidP="00BE736F">
      <w:pPr>
        <w:pStyle w:val="Standard"/>
        <w:spacing w:line="276" w:lineRule="auto"/>
        <w:rPr>
          <w:rFonts w:ascii="Garamond" w:hAnsi="Garamond"/>
          <w:lang w:val="pt-PT"/>
        </w:rPr>
      </w:pPr>
    </w:p>
    <w:sectPr w:rsidR="002B14BD" w:rsidRPr="00BE736F">
      <w:headerReference w:type="default" r:id="rId19"/>
      <w:footerReference w:type="default" r:id="rId20"/>
      <w:pgSz w:w="11906" w:h="16838"/>
      <w:pgMar w:top="765" w:right="1701" w:bottom="351" w:left="1701" w:header="709" w:footer="29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8AE" w:rsidRDefault="00ED18AE">
      <w:r>
        <w:separator/>
      </w:r>
    </w:p>
  </w:endnote>
  <w:endnote w:type="continuationSeparator" w:id="0">
    <w:p w:rsidR="00ED18AE" w:rsidRDefault="00ED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Antiqua-Bold-SC700">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468" w:type="dxa"/>
      <w:tblInd w:w="108" w:type="dxa"/>
      <w:tblLayout w:type="fixed"/>
      <w:tblCellMar>
        <w:left w:w="10" w:type="dxa"/>
        <w:right w:w="10" w:type="dxa"/>
      </w:tblCellMar>
      <w:tblLook w:val="0000" w:firstRow="0" w:lastRow="0" w:firstColumn="0" w:lastColumn="0" w:noHBand="0" w:noVBand="0"/>
    </w:tblPr>
    <w:tblGrid>
      <w:gridCol w:w="8468"/>
    </w:tblGrid>
    <w:tr w:rsidR="00ED18AE">
      <w:tc>
        <w:tcPr>
          <w:tcW w:w="8468" w:type="dxa"/>
          <w:tcBorders>
            <w:top w:val="single" w:sz="4" w:space="0" w:color="000000"/>
          </w:tcBorders>
          <w:tcMar>
            <w:top w:w="0" w:type="dxa"/>
            <w:left w:w="108" w:type="dxa"/>
            <w:bottom w:w="0" w:type="dxa"/>
            <w:right w:w="108" w:type="dxa"/>
          </w:tcMar>
        </w:tcPr>
        <w:p w:rsidR="00ED18AE" w:rsidRDefault="00ED18AE">
          <w:pPr>
            <w:pStyle w:val="Rodap"/>
            <w:snapToGrid w:val="0"/>
            <w:rPr>
              <w:sz w:val="20"/>
            </w:rPr>
          </w:pPr>
        </w:p>
      </w:tc>
    </w:tr>
  </w:tbl>
  <w:p w:rsidR="00ED18AE" w:rsidRDefault="00ED18AE">
    <w:pPr>
      <w:pStyle w:val="Rodap"/>
      <w:rPr>
        <w:color w:val="000000"/>
      </w:rPr>
    </w:pPr>
    <w:r>
      <w:rPr>
        <w:noProof/>
        <w:color w:val="000000"/>
        <w:lang w:eastAsia="pt-BR"/>
      </w:rPr>
      <w:drawing>
        <wp:inline distT="0" distB="0" distL="0" distR="0">
          <wp:extent cx="5400040" cy="452120"/>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para rodape.png"/>
                  <pic:cNvPicPr/>
                </pic:nvPicPr>
                <pic:blipFill>
                  <a:blip r:embed="rId1">
                    <a:extLst>
                      <a:ext uri="{28A0092B-C50C-407E-A947-70E740481C1C}">
                        <a14:useLocalDpi xmlns:a14="http://schemas.microsoft.com/office/drawing/2010/main" val="0"/>
                      </a:ext>
                    </a:extLst>
                  </a:blip>
                  <a:stretch>
                    <a:fillRect/>
                  </a:stretch>
                </pic:blipFill>
                <pic:spPr>
                  <a:xfrm>
                    <a:off x="0" y="0"/>
                    <a:ext cx="5400040" cy="4521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8AE" w:rsidRDefault="00ED18AE">
      <w:r>
        <w:rPr>
          <w:color w:val="000000"/>
        </w:rPr>
        <w:separator/>
      </w:r>
    </w:p>
  </w:footnote>
  <w:footnote w:type="continuationSeparator" w:id="0">
    <w:p w:rsidR="00ED18AE" w:rsidRDefault="00ED18AE">
      <w:r>
        <w:continuationSeparator/>
      </w:r>
    </w:p>
  </w:footnote>
  <w:footnote w:id="1">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Ofício 03/2017-CONDEPAHC – Fls. 03</w:t>
      </w:r>
    </w:p>
  </w:footnote>
  <w:footnote w:id="2">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Laudo Técnico de Esclarecimentos de Intervenções Técnicas e Acauteladoras – Fls. 10/20</w:t>
      </w:r>
    </w:p>
  </w:footnote>
  <w:footnote w:id="3">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 xml:space="preserve">Ofício s/n – </w:t>
      </w:r>
      <w:proofErr w:type="spellStart"/>
      <w:r w:rsidRPr="00450552">
        <w:rPr>
          <w:rFonts w:ascii="Garamond" w:hAnsi="Garamond"/>
        </w:rPr>
        <w:t>Fls</w:t>
      </w:r>
      <w:proofErr w:type="spellEnd"/>
      <w:r w:rsidRPr="00450552">
        <w:rPr>
          <w:rFonts w:ascii="Garamond" w:hAnsi="Garamond"/>
        </w:rPr>
        <w:t xml:space="preserve"> 31/32</w:t>
      </w:r>
    </w:p>
  </w:footnote>
  <w:footnote w:id="4">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Parecer Técnico Preliminar 24-04-2017 – Fls. 143/156</w:t>
      </w:r>
    </w:p>
  </w:footnote>
  <w:footnote w:id="5">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Parecer 10 – Fls.140/142</w:t>
      </w:r>
    </w:p>
  </w:footnote>
  <w:footnote w:id="6">
    <w:p w:rsidR="00ED18AE" w:rsidRPr="00450552" w:rsidRDefault="00ED18AE" w:rsidP="00EB2337">
      <w:pPr>
        <w:pStyle w:val="Textodenotaderodap"/>
        <w:rPr>
          <w:rFonts w:ascii="Garamond" w:hAnsi="Garamond"/>
        </w:rPr>
      </w:pPr>
      <w:r w:rsidRPr="00450552">
        <w:rPr>
          <w:rStyle w:val="Refdenotaderodap"/>
          <w:rFonts w:ascii="Garamond" w:hAnsi="Garamond"/>
        </w:rPr>
        <w:footnoteRef/>
      </w:r>
      <w:r w:rsidRPr="00450552">
        <w:rPr>
          <w:rFonts w:ascii="Garamond" w:hAnsi="Garamond"/>
        </w:rPr>
        <w:t xml:space="preserve"> Fonte: </w:t>
      </w:r>
      <w:r w:rsidRPr="00450552">
        <w:rPr>
          <w:rStyle w:val="object"/>
          <w:rFonts w:ascii="Garamond" w:hAnsi="Garamond"/>
        </w:rPr>
        <w:t>http://www.patosdeminas.mg.gov.br/acidade/historia.php</w:t>
      </w:r>
      <w:r w:rsidRPr="00450552">
        <w:rPr>
          <w:rFonts w:ascii="Garamond" w:hAnsi="Garamond"/>
        </w:rPr>
        <w:t>, acesso em outubro/2013.</w:t>
      </w:r>
    </w:p>
  </w:footnote>
  <w:footnote w:id="7">
    <w:p w:rsidR="00ED18AE" w:rsidRPr="00450552" w:rsidRDefault="00ED18AE" w:rsidP="00EB2337">
      <w:pPr>
        <w:pStyle w:val="Footnote"/>
        <w:rPr>
          <w:rFonts w:ascii="Garamond" w:hAnsi="Garamond"/>
        </w:rPr>
      </w:pPr>
      <w:r w:rsidRPr="00450552">
        <w:rPr>
          <w:rStyle w:val="Refdenotaderodap"/>
          <w:rFonts w:ascii="Garamond" w:hAnsi="Garamond"/>
        </w:rPr>
        <w:footnoteRef/>
      </w:r>
      <w:r w:rsidRPr="00450552">
        <w:rPr>
          <w:rFonts w:ascii="Garamond" w:hAnsi="Garamond"/>
        </w:rPr>
        <w:t>Ficha de Inventário de Proteção de Acervo Cultural – Fls. 157/158</w:t>
      </w:r>
    </w:p>
  </w:footnote>
  <w:footnote w:id="8">
    <w:p w:rsidR="00ED18AE" w:rsidRPr="001E4BD0" w:rsidRDefault="00ED18AE" w:rsidP="00EB2337">
      <w:pPr>
        <w:pStyle w:val="Textodenotaderodap"/>
        <w:jc w:val="both"/>
        <w:rPr>
          <w:rFonts w:ascii="Garamond" w:hAnsi="Garamond"/>
        </w:rPr>
      </w:pPr>
      <w:r w:rsidRPr="003D0263">
        <w:rPr>
          <w:rStyle w:val="Refdenotaderodap"/>
          <w:rFonts w:ascii="Garamond" w:hAnsi="Garamond"/>
        </w:rPr>
        <w:footnoteRef/>
      </w:r>
      <w:r w:rsidRPr="003D0263">
        <w:rPr>
          <w:rFonts w:ascii="Garamond" w:hAnsi="Garamond"/>
        </w:rPr>
        <w:t xml:space="preserve"> “O valor cultural não é intrínseco, mas criado, instituído historicamente, no seio da interação social e, por isso, nem é imutável, nem homogêneo. Mais ainda: o conflito é seu berço e trajetória naturais, pois não está </w:t>
      </w:r>
      <w:r w:rsidRPr="001E4BD0">
        <w:rPr>
          <w:rFonts w:ascii="Garamond" w:hAnsi="Garamond"/>
        </w:rPr>
        <w:t>desvinculado de interesses de indivíduos, grupos e sociedades e assim, por sua natureza política, precisa ser declarado, proposto, legitimado, tornado aceitável ou desejável”. BEZERRA DE MENESES.  Valor cultural, valor econômico: encontros e desencontros.</w:t>
      </w:r>
    </w:p>
  </w:footnote>
  <w:footnote w:id="9">
    <w:p w:rsidR="00ED18AE" w:rsidRDefault="00ED18AE" w:rsidP="00EB2337">
      <w:pPr>
        <w:pStyle w:val="Textodenotaderodap"/>
      </w:pPr>
      <w:r w:rsidRPr="001E4BD0">
        <w:rPr>
          <w:rStyle w:val="Refdenotaderodap"/>
          <w:rFonts w:ascii="Garamond" w:hAnsi="Garamond"/>
        </w:rPr>
        <w:footnoteRef/>
      </w:r>
      <w:r w:rsidRPr="001E4BD0">
        <w:rPr>
          <w:rFonts w:ascii="Garamond" w:hAnsi="Garamond"/>
        </w:rPr>
        <w:t xml:space="preserve"> Considerando o ponto de vista de quem olha para a edificação</w:t>
      </w:r>
      <w:r>
        <w:t>.</w:t>
      </w:r>
    </w:p>
  </w:footnote>
  <w:footnote w:id="10">
    <w:p w:rsidR="00ED18AE" w:rsidRPr="00183713" w:rsidRDefault="00ED18AE">
      <w:pPr>
        <w:pStyle w:val="Textodenotaderodap"/>
        <w:rPr>
          <w:rFonts w:ascii="Garamond" w:hAnsi="Garamond"/>
        </w:rPr>
      </w:pPr>
      <w:r w:rsidRPr="00183713">
        <w:rPr>
          <w:rStyle w:val="Refdenotaderodap"/>
          <w:rFonts w:ascii="Garamond" w:hAnsi="Garamond"/>
        </w:rPr>
        <w:footnoteRef/>
      </w:r>
      <w:r w:rsidRPr="00183713">
        <w:rPr>
          <w:rFonts w:ascii="Garamond" w:hAnsi="Garamond"/>
        </w:rPr>
        <w:t xml:space="preserve"> Realizada em 18/04/2017</w:t>
      </w:r>
    </w:p>
  </w:footnote>
  <w:footnote w:id="11">
    <w:p w:rsidR="00ED18AE" w:rsidRPr="00196ECF" w:rsidRDefault="00ED18AE" w:rsidP="00B077D5">
      <w:pPr>
        <w:pStyle w:val="Textodenotaderodap"/>
        <w:rPr>
          <w:rFonts w:ascii="Garamond" w:hAnsi="Garamond"/>
        </w:rPr>
      </w:pPr>
      <w:r w:rsidRPr="00196ECF">
        <w:rPr>
          <w:rStyle w:val="Refdenotaderodap"/>
          <w:rFonts w:ascii="Garamond" w:hAnsi="Garamond"/>
        </w:rPr>
        <w:footnoteRef/>
      </w:r>
      <w:r w:rsidRPr="00196ECF">
        <w:rPr>
          <w:rFonts w:ascii="Garamond" w:hAnsi="Garamond"/>
        </w:rPr>
        <w:t xml:space="preserve"> Marcos Paulo de Souza </w:t>
      </w:r>
      <w:proofErr w:type="gramStart"/>
      <w:r w:rsidRPr="00196ECF">
        <w:rPr>
          <w:rFonts w:ascii="Garamond" w:hAnsi="Garamond"/>
        </w:rPr>
        <w:t>Miranda ,</w:t>
      </w:r>
      <w:proofErr w:type="gramEnd"/>
      <w:r w:rsidRPr="00196ECF">
        <w:rPr>
          <w:rFonts w:ascii="Garamond" w:hAnsi="Garamond"/>
        </w:rPr>
        <w:t xml:space="preserve"> no artigo “O inventário como instrumento constitucional de proteção ao patrimônio cultural brasileiro”.</w:t>
      </w:r>
    </w:p>
  </w:footnote>
  <w:footnote w:id="12">
    <w:p w:rsidR="00ED18AE" w:rsidRPr="00304FD1" w:rsidRDefault="00ED18AE" w:rsidP="00277EF2">
      <w:pPr>
        <w:pStyle w:val="Textodenotaderodap"/>
        <w:rPr>
          <w:rFonts w:ascii="Garamond" w:hAnsi="Garamond"/>
        </w:rPr>
      </w:pPr>
      <w:r w:rsidRPr="00304FD1">
        <w:rPr>
          <w:rStyle w:val="Refdenotaderodap"/>
          <w:rFonts w:ascii="Garamond" w:hAnsi="Garamond"/>
        </w:rPr>
        <w:footnoteRef/>
      </w:r>
      <w:r w:rsidRPr="00304FD1">
        <w:rPr>
          <w:rFonts w:ascii="Garamond" w:hAnsi="Garamond"/>
        </w:rPr>
        <w:t xml:space="preserve"> Realizada em 18/04/2017</w:t>
      </w:r>
    </w:p>
  </w:footnote>
  <w:footnote w:id="13">
    <w:p w:rsidR="00ED18AE" w:rsidRDefault="00ED18AE">
      <w:pPr>
        <w:pStyle w:val="Textodenotaderodap"/>
      </w:pPr>
      <w:r>
        <w:rPr>
          <w:rStyle w:val="Refdenotaderodap"/>
        </w:rPr>
        <w:footnoteRef/>
      </w:r>
      <w:r w:rsidRPr="000D27C0">
        <w:rPr>
          <w:lang w:val="en-US"/>
        </w:rPr>
        <w:t xml:space="preserve"> </w:t>
      </w:r>
      <w:r w:rsidRPr="000D27C0">
        <w:rPr>
          <w:rFonts w:ascii="Garamond" w:hAnsi="Garamond"/>
          <w:lang w:val="en-US"/>
        </w:rPr>
        <w:t xml:space="preserve">STJ; REsp 1.115.555; Proc. 2009/0004061-1; MG; Rel. </w:t>
      </w:r>
      <w:r w:rsidRPr="000868FE">
        <w:rPr>
          <w:rFonts w:ascii="Garamond" w:hAnsi="Garamond"/>
        </w:rPr>
        <w:t xml:space="preserve">Min. Arnaldo </w:t>
      </w:r>
      <w:r w:rsidRPr="00E816AE">
        <w:rPr>
          <w:rFonts w:ascii="Garamond" w:hAnsi="Garamond"/>
        </w:rPr>
        <w:t xml:space="preserve">Esteves Lima; </w:t>
      </w:r>
      <w:proofErr w:type="spellStart"/>
      <w:r w:rsidRPr="00E816AE">
        <w:rPr>
          <w:rFonts w:ascii="Garamond" w:hAnsi="Garamond"/>
        </w:rPr>
        <w:t>Julg</w:t>
      </w:r>
      <w:proofErr w:type="spellEnd"/>
      <w:r w:rsidRPr="00E816AE">
        <w:rPr>
          <w:rFonts w:ascii="Garamond" w:hAnsi="Garamond"/>
        </w:rPr>
        <w:t>. 15/02/2011.</w:t>
      </w:r>
    </w:p>
  </w:footnote>
  <w:footnote w:id="14">
    <w:p w:rsidR="00ED18AE" w:rsidRPr="00756EED" w:rsidRDefault="00ED18AE" w:rsidP="00756EED">
      <w:pPr>
        <w:widowControl/>
        <w:suppressAutoHyphens w:val="0"/>
        <w:autoSpaceDE w:val="0"/>
        <w:adjustRightInd w:val="0"/>
        <w:jc w:val="both"/>
        <w:textAlignment w:val="auto"/>
        <w:rPr>
          <w:rFonts w:ascii="Garamond" w:hAnsi="Garamond" w:cs="BookAntiqua-Bold-SC700"/>
          <w:bCs/>
          <w:kern w:val="0"/>
          <w:sz w:val="20"/>
          <w:szCs w:val="20"/>
          <w:lang w:bidi="ar-SA"/>
        </w:rPr>
      </w:pPr>
      <w:r w:rsidRPr="00756EED">
        <w:rPr>
          <w:rStyle w:val="Refdenotaderodap"/>
          <w:rFonts w:ascii="Garamond" w:hAnsi="Garamond"/>
          <w:sz w:val="20"/>
          <w:szCs w:val="20"/>
        </w:rPr>
        <w:footnoteRef/>
      </w:r>
      <w:r w:rsidRPr="00756EED">
        <w:rPr>
          <w:rFonts w:ascii="Garamond" w:hAnsi="Garamond"/>
          <w:sz w:val="20"/>
          <w:szCs w:val="20"/>
        </w:rPr>
        <w:t xml:space="preserve"> Miranda, Marcos Paulo de Souza; Novais, Andrea </w:t>
      </w:r>
      <w:proofErr w:type="spellStart"/>
      <w:r w:rsidRPr="00756EED">
        <w:rPr>
          <w:rFonts w:ascii="Garamond" w:hAnsi="Garamond"/>
          <w:sz w:val="20"/>
          <w:szCs w:val="20"/>
        </w:rPr>
        <w:t>Lanna</w:t>
      </w:r>
      <w:proofErr w:type="spellEnd"/>
      <w:r w:rsidRPr="00756EED">
        <w:rPr>
          <w:rFonts w:ascii="Garamond" w:hAnsi="Garamond"/>
          <w:sz w:val="20"/>
          <w:szCs w:val="20"/>
        </w:rPr>
        <w:t xml:space="preserve"> Mendes. </w:t>
      </w:r>
      <w:r w:rsidRPr="00756EED">
        <w:rPr>
          <w:rFonts w:ascii="Garamond" w:hAnsi="Garamond" w:cs="BookAntiqua-Bold-SC700"/>
          <w:bCs/>
          <w:kern w:val="0"/>
          <w:sz w:val="20"/>
          <w:szCs w:val="20"/>
          <w:lang w:bidi="ar-SA"/>
        </w:rPr>
        <w:t>Metodologias de valoração econômica de danos a bens culturais materiais utilizadas pela Promotoria Estadual de Defesa do Patrimônio Cultural e T</w:t>
      </w:r>
      <w:r w:rsidRPr="00756EED">
        <w:rPr>
          <w:rFonts w:ascii="Garamond" w:hAnsi="Garamond" w:cs="BookAntiqua-Bold-SC700"/>
          <w:bCs/>
          <w:kern w:val="0"/>
          <w:sz w:val="20"/>
          <w:szCs w:val="20"/>
          <w:lang w:bidi="ar-SA"/>
        </w:rPr>
        <w:t>u</w:t>
      </w:r>
      <w:r w:rsidRPr="00756EED">
        <w:rPr>
          <w:rFonts w:ascii="Garamond" w:hAnsi="Garamond" w:cs="BookAntiqua-Bold-SC700"/>
          <w:bCs/>
          <w:kern w:val="0"/>
          <w:sz w:val="20"/>
          <w:szCs w:val="20"/>
          <w:lang w:bidi="ar-SA"/>
        </w:rPr>
        <w:t xml:space="preserve">rístico de Minas Gerais. Revista MPMG Jurídico. Edição Especial Meio Ambiente - Belo Horizonte, 2011. </w:t>
      </w:r>
    </w:p>
    <w:p w:rsidR="00ED18AE" w:rsidRDefault="00ED18AE" w:rsidP="00E816AE">
      <w:pPr>
        <w:pStyle w:val="Textodenotaderodap"/>
      </w:pPr>
    </w:p>
  </w:footnote>
  <w:footnote w:id="15">
    <w:p w:rsidR="00ED18AE" w:rsidRPr="00BE736F" w:rsidRDefault="00ED18AE" w:rsidP="00670EFE">
      <w:pPr>
        <w:pStyle w:val="Textodenotaderodap"/>
        <w:jc w:val="both"/>
        <w:rPr>
          <w:rFonts w:ascii="Garamond" w:hAnsi="Garamond"/>
        </w:rPr>
      </w:pPr>
      <w:r w:rsidRPr="00BE736F">
        <w:rPr>
          <w:rStyle w:val="Refdenotaderodap"/>
          <w:rFonts w:ascii="Garamond" w:hAnsi="Garamond"/>
        </w:rPr>
        <w:footnoteRef/>
      </w:r>
      <w:r w:rsidRPr="00BE736F">
        <w:rPr>
          <w:rFonts w:ascii="Garamond" w:hAnsi="Garamond"/>
        </w:rPr>
        <w:t xml:space="preserve"> PINHO, Hortênsia Gomes. Prevenção e reparação de danos ambientais: as medidas de reposição natural, compensatórias e preventivas e a indenização pecuniária. Rio de Janeiro: GZ Verde, 2010.</w:t>
      </w:r>
    </w:p>
  </w:footnote>
  <w:footnote w:id="16">
    <w:p w:rsidR="00ED18AE" w:rsidRPr="00BE736F" w:rsidRDefault="00ED18AE" w:rsidP="00670EFE">
      <w:pPr>
        <w:pStyle w:val="Textodenotaderodap"/>
        <w:rPr>
          <w:rFonts w:ascii="Garamond" w:hAnsi="Garamond"/>
        </w:rPr>
      </w:pPr>
      <w:r w:rsidRPr="00BE736F">
        <w:rPr>
          <w:rStyle w:val="Refdenotaderodap"/>
          <w:rFonts w:ascii="Garamond" w:hAnsi="Garamond"/>
        </w:rPr>
        <w:footnoteRef/>
      </w:r>
      <w:r w:rsidRPr="00BE736F">
        <w:rPr>
          <w:rFonts w:ascii="Garamond" w:hAnsi="Garamond"/>
        </w:rPr>
        <w:t xml:space="preserve"> Elaborado por uma equipe multidisciplinar de profissionais atuantes nas áreas do patrimônio cultural e ambiental, representando a Administração Pública direta, indireta e autárquica, o Ministério Público e se</w:t>
      </w:r>
      <w:r w:rsidRPr="00BE736F">
        <w:rPr>
          <w:rFonts w:ascii="Garamond" w:hAnsi="Garamond"/>
        </w:rPr>
        <w:t>g</w:t>
      </w:r>
      <w:r w:rsidRPr="00BE736F">
        <w:rPr>
          <w:rFonts w:ascii="Garamond" w:hAnsi="Garamond"/>
        </w:rPr>
        <w:t>mento da sociedade civil organizada do Estado de São Paulo, entre eles o Conselho de Defesa do Patrimônio Histórico, Arqueológico, Artístico e Turístico do Estado de São Paulo</w:t>
      </w:r>
    </w:p>
  </w:footnote>
  <w:footnote w:id="17">
    <w:p w:rsidR="00ED18AE" w:rsidRPr="00D143C7" w:rsidRDefault="00ED18AE" w:rsidP="00D143C7">
      <w:pPr>
        <w:pStyle w:val="Textodenotaderodap"/>
        <w:jc w:val="both"/>
        <w:rPr>
          <w:rFonts w:ascii="Garamond" w:hAnsi="Garamond"/>
        </w:rPr>
      </w:pPr>
      <w:r w:rsidRPr="00D143C7">
        <w:rPr>
          <w:rStyle w:val="Refdenotaderodap"/>
          <w:rFonts w:ascii="Garamond" w:hAnsi="Garamond"/>
        </w:rPr>
        <w:footnoteRef/>
      </w:r>
      <w:r w:rsidRPr="00D143C7">
        <w:rPr>
          <w:rFonts w:ascii="Garamond" w:hAnsi="Garamond"/>
        </w:rPr>
        <w:t xml:space="preserve"> Caso a prefeitura não localize o microfilme, apresentar certidão negativa do mesmo, que deve ser expedida pela própria prefeitura.</w:t>
      </w:r>
    </w:p>
  </w:footnote>
  <w:footnote w:id="18">
    <w:p w:rsidR="00ED18AE" w:rsidRPr="00D143C7" w:rsidRDefault="00ED18AE" w:rsidP="00D143C7">
      <w:pPr>
        <w:pStyle w:val="Textodenotaderodap"/>
        <w:jc w:val="both"/>
        <w:rPr>
          <w:rFonts w:ascii="Garamond" w:hAnsi="Garamond"/>
        </w:rPr>
      </w:pPr>
      <w:r w:rsidRPr="00D143C7">
        <w:rPr>
          <w:rStyle w:val="Refdenotaderodap"/>
          <w:rFonts w:ascii="Garamond" w:hAnsi="Garamond"/>
        </w:rPr>
        <w:footnoteRef/>
      </w:r>
      <w:r w:rsidRPr="00D143C7">
        <w:rPr>
          <w:rFonts w:ascii="Garamond" w:hAnsi="Garamond"/>
        </w:rPr>
        <w:t xml:space="preserve"> Essa informação pode ser obtida através de leitura de fichas de obra e microfilme do imóvel.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8AE" w:rsidRDefault="00ED18AE" w:rsidP="00722845">
    <w:pPr>
      <w:pStyle w:val="Cabealho"/>
      <w:ind w:right="360"/>
      <w:jc w:val="center"/>
      <w:rPr>
        <w:rFonts w:ascii="Garamond" w:hAnsi="Garamond" w:cs="Garamond"/>
        <w:sz w:val="18"/>
        <w:szCs w:val="20"/>
      </w:rPr>
    </w:pPr>
    <w:r>
      <w:rPr>
        <w:b/>
        <w:bCs/>
        <w:noProof/>
        <w:lang w:eastAsia="pt-BR"/>
      </w:rPr>
      <mc:AlternateContent>
        <mc:Choice Requires="wps">
          <w:drawing>
            <wp:anchor distT="0" distB="0" distL="114300" distR="114300" simplePos="0" relativeHeight="251659264" behindDoc="0" locked="0" layoutInCell="1" allowOverlap="1" wp14:anchorId="73BDD5C4" wp14:editId="54BEB012">
              <wp:simplePos x="0" y="0"/>
              <wp:positionH relativeFrom="margin">
                <wp:align>right</wp:align>
              </wp:positionH>
              <wp:positionV relativeFrom="paragraph">
                <wp:posOffset>720</wp:posOffset>
              </wp:positionV>
              <wp:extent cx="14760" cy="20880"/>
              <wp:effectExtent l="0" t="0" r="0" b="0"/>
              <wp:wrapSquare wrapText="bothSides"/>
              <wp:docPr id="1" name="Quadro1"/>
              <wp:cNvGraphicFramePr/>
              <a:graphic xmlns:a="http://schemas.openxmlformats.org/drawingml/2006/main">
                <a:graphicData uri="http://schemas.microsoft.com/office/word/2010/wordprocessingShape">
                  <wps:wsp>
                    <wps:cNvSpPr txBox="1"/>
                    <wps:spPr>
                      <a:xfrm>
                        <a:off x="0" y="0"/>
                        <a:ext cx="14760" cy="20880"/>
                      </a:xfrm>
                      <a:prstGeom prst="rect">
                        <a:avLst/>
                      </a:prstGeom>
                    </wps:spPr>
                    <wps:txbx>
                      <w:txbxContent>
                        <w:p w:rsidR="00ED18AE" w:rsidRDefault="00ED18AE">
                          <w:pPr>
                            <w:pStyle w:val="Cabealho"/>
                          </w:pPr>
                          <w:r>
                            <w:rPr>
                              <w:rStyle w:val="Nmerodepgina"/>
                            </w:rPr>
                            <w:fldChar w:fldCharType="begin"/>
                          </w:r>
                          <w:r>
                            <w:rPr>
                              <w:rStyle w:val="Nmerodepgina"/>
                            </w:rPr>
                            <w:instrText xml:space="preserve"> PAGE </w:instrText>
                          </w:r>
                          <w:r>
                            <w:rPr>
                              <w:rStyle w:val="Nmerodepgina"/>
                            </w:rPr>
                            <w:fldChar w:fldCharType="separate"/>
                          </w:r>
                          <w:r w:rsidR="000D27C0">
                            <w:rPr>
                              <w:rStyle w:val="Nmerodepgina"/>
                              <w:noProof/>
                            </w:rPr>
                            <w:t>1</w:t>
                          </w:r>
                          <w:r>
                            <w:rPr>
                              <w:rStyle w:val="Nmerodepgina"/>
                            </w:rPr>
                            <w:fldChar w:fldCharType="end"/>
                          </w:r>
                        </w:p>
                      </w:txbxContent>
                    </wps:txbx>
                    <wps:bodyPr vert="horz" wrap="none" lIns="0" tIns="0" rIns="0" bIns="0" compatLnSpc="0">
                      <a:spAutoFit/>
                    </wps:bodyPr>
                  </wps:wsp>
                </a:graphicData>
              </a:graphic>
            </wp:anchor>
          </w:drawing>
        </mc:Choice>
        <mc:Fallback>
          <w:pict>
            <v:shapetype id="_x0000_t202" coordsize="21600,21600" o:spt="202" path="m,l,21600r21600,l21600,xe">
              <v:stroke joinstyle="miter"/>
              <v:path gradientshapeok="t" o:connecttype="rect"/>
            </v:shapetype>
            <v:shape id="Quadro1" o:spid="_x0000_s1026" type="#_x0000_t202" style="position:absolute;left:0;text-align:left;margin-left:-50.05pt;margin-top:.05pt;width:1.15pt;height:1.6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" filled="f" stroked="f">
              <v:textbox style="mso-fit-shape-to-text:t" inset="0,0,0,0">
                <w:txbxContent>
                  <w:p w:rsidR="00ED18AE" w:rsidRDefault="00ED18AE">
                    <w:pPr>
                      <w:pStyle w:val="Cabealho"/>
                    </w:pPr>
                    <w:r>
                      <w:rPr>
                        <w:rStyle w:val="Nmerodepgina"/>
                      </w:rPr>
                      <w:fldChar w:fldCharType="begin"/>
                    </w:r>
                    <w:r>
                      <w:rPr>
                        <w:rStyle w:val="Nmerodepgina"/>
                      </w:rPr>
                      <w:instrText xml:space="preserve"> PAGE </w:instrText>
                    </w:r>
                    <w:r>
                      <w:rPr>
                        <w:rStyle w:val="Nmerodepgina"/>
                      </w:rPr>
                      <w:fldChar w:fldCharType="separate"/>
                    </w:r>
                    <w:r w:rsidR="000D27C0">
                      <w:rPr>
                        <w:rStyle w:val="Nmerodepgina"/>
                        <w:noProof/>
                      </w:rPr>
                      <w:t>1</w:t>
                    </w:r>
                    <w:r>
                      <w:rPr>
                        <w:rStyle w:val="Nmerodepgina"/>
                      </w:rPr>
                      <w:fldChar w:fldCharType="end"/>
                    </w:r>
                  </w:p>
                </w:txbxContent>
              </v:textbox>
              <w10:wrap type="square" anchorx="margin"/>
            </v:shape>
          </w:pict>
        </mc:Fallback>
      </mc:AlternateContent>
    </w:r>
    <w:r>
      <w:rPr>
        <w:rFonts w:ascii="Garamond" w:hAnsi="Garamond" w:cs="Garamond"/>
        <w:noProof/>
        <w:sz w:val="18"/>
        <w:szCs w:val="20"/>
        <w:lang w:eastAsia="pt-BR"/>
      </w:rPr>
      <w:drawing>
        <wp:inline distT="0" distB="0" distL="0" distR="0">
          <wp:extent cx="5400040" cy="82994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para cabecalho.png"/>
                  <pic:cNvPicPr/>
                </pic:nvPicPr>
                <pic:blipFill>
                  <a:blip r:embed="rId1">
                    <a:extLst>
                      <a:ext uri="{28A0092B-C50C-407E-A947-70E740481C1C}">
                        <a14:useLocalDpi xmlns:a14="http://schemas.microsoft.com/office/drawing/2010/main" val="0"/>
                      </a:ext>
                    </a:extLst>
                  </a:blip>
                  <a:stretch>
                    <a:fillRect/>
                  </a:stretch>
                </pic:blipFill>
                <pic:spPr>
                  <a:xfrm>
                    <a:off x="0" y="0"/>
                    <a:ext cx="5400040" cy="829945"/>
                  </a:xfrm>
                  <a:prstGeom prst="rect">
                    <a:avLst/>
                  </a:prstGeom>
                </pic:spPr>
              </pic:pic>
            </a:graphicData>
          </a:graphic>
        </wp:inline>
      </w:drawing>
    </w:r>
  </w:p>
  <w:p w:rsidR="00ED18AE" w:rsidRDefault="00ED18AE">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630F"/>
    <w:multiLevelType w:val="hybridMultilevel"/>
    <w:tmpl w:val="4932653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1728141F"/>
    <w:multiLevelType w:val="hybridMultilevel"/>
    <w:tmpl w:val="CC4E54F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AFF5B2A"/>
    <w:multiLevelType w:val="hybridMultilevel"/>
    <w:tmpl w:val="25DE15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9F84C00"/>
    <w:multiLevelType w:val="hybridMultilevel"/>
    <w:tmpl w:val="B1EC418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nsid w:val="2D6D7AA5"/>
    <w:multiLevelType w:val="multilevel"/>
    <w:tmpl w:val="B64C2966"/>
    <w:styleLink w:val="WW8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nsid w:val="2F5B746B"/>
    <w:multiLevelType w:val="hybridMultilevel"/>
    <w:tmpl w:val="046ACD5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FCE1C46"/>
    <w:multiLevelType w:val="hybridMultilevel"/>
    <w:tmpl w:val="B8E0DFDE"/>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7">
    <w:nsid w:val="35B817FD"/>
    <w:multiLevelType w:val="multilevel"/>
    <w:tmpl w:val="DA2A2E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4EA1665"/>
    <w:multiLevelType w:val="multilevel"/>
    <w:tmpl w:val="C26EA56C"/>
    <w:styleLink w:val="WW8Num4"/>
    <w:lvl w:ilvl="0">
      <w:start w:val="1"/>
      <w:numFmt w:val="decimal"/>
      <w:lvlText w:val="%1."/>
      <w:lvlJc w:val="left"/>
      <w:rPr>
        <w:rFonts w:ascii="Garamond" w:hAnsi="Garamond" w:cs="Garamond"/>
        <w:b/>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46EF0DB4"/>
    <w:multiLevelType w:val="hybridMultilevel"/>
    <w:tmpl w:val="DC1EF86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nsid w:val="4CE10D5F"/>
    <w:multiLevelType w:val="multilevel"/>
    <w:tmpl w:val="52560E92"/>
    <w:styleLink w:val="WW8Num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4F856D94"/>
    <w:multiLevelType w:val="hybridMultilevel"/>
    <w:tmpl w:val="DA2A2E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4F50044"/>
    <w:multiLevelType w:val="hybridMultilevel"/>
    <w:tmpl w:val="DC3436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55A73775"/>
    <w:multiLevelType w:val="hybridMultilevel"/>
    <w:tmpl w:val="8CB2215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5A787BE5"/>
    <w:multiLevelType w:val="multilevel"/>
    <w:tmpl w:val="A364E48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nsid w:val="5AF94748"/>
    <w:multiLevelType w:val="multilevel"/>
    <w:tmpl w:val="A67C654C"/>
    <w:styleLink w:val="WW8Num3"/>
    <w:lvl w:ilvl="0">
      <w:start w:val="1"/>
      <w:numFmt w:val="upperRoman"/>
      <w:lvlText w:val="%1."/>
      <w:lvlJc w:val="left"/>
    </w:lvl>
    <w:lvl w:ilvl="1">
      <w:numFmt w:val="bullet"/>
      <w:lvlText w:val=""/>
      <w:lvlJc w:val="left"/>
      <w:rPr>
        <w:rFonts w:ascii="Symbol" w:eastAsia="Times New Roman" w:hAnsi="Symbol"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622C04A3"/>
    <w:multiLevelType w:val="hybridMultilevel"/>
    <w:tmpl w:val="04AA2F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7">
    <w:nsid w:val="695B1A6F"/>
    <w:multiLevelType w:val="multilevel"/>
    <w:tmpl w:val="B79445E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0"/>
  </w:num>
  <w:num w:numId="2">
    <w:abstractNumId w:val="4"/>
  </w:num>
  <w:num w:numId="3">
    <w:abstractNumId w:val="15"/>
  </w:num>
  <w:num w:numId="4">
    <w:abstractNumId w:val="8"/>
  </w:num>
  <w:num w:numId="5">
    <w:abstractNumId w:val="8"/>
    <w:lvlOverride w:ilvl="0">
      <w:startOverride w:val="1"/>
    </w:lvlOverride>
  </w:num>
  <w:num w:numId="6">
    <w:abstractNumId w:val="17"/>
  </w:num>
  <w:num w:numId="7">
    <w:abstractNumId w:val="14"/>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6"/>
  </w:num>
  <w:num w:numId="12">
    <w:abstractNumId w:val="9"/>
  </w:num>
  <w:num w:numId="13">
    <w:abstractNumId w:val="3"/>
  </w:num>
  <w:num w:numId="14">
    <w:abstractNumId w:val="11"/>
  </w:num>
  <w:num w:numId="15">
    <w:abstractNumId w:val="7"/>
  </w:num>
  <w:num w:numId="16">
    <w:abstractNumId w:val="1"/>
  </w:num>
  <w:num w:numId="17">
    <w:abstractNumId w:val="0"/>
  </w:num>
  <w:num w:numId="18">
    <w:abstractNumId w:val="2"/>
  </w:num>
  <w:num w:numId="19">
    <w:abstractNumId w:val="12"/>
  </w:num>
  <w:num w:numId="20">
    <w:abstractNumId w:val="13"/>
  </w:num>
  <w:num w:numId="21">
    <w:abstractNumId w:val="16"/>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
  <w:rsids>
    <w:rsidRoot w:val="002B14BD"/>
    <w:rsid w:val="00030A40"/>
    <w:rsid w:val="000868FE"/>
    <w:rsid w:val="000B1F53"/>
    <w:rsid w:val="000D27C0"/>
    <w:rsid w:val="0012696E"/>
    <w:rsid w:val="00183713"/>
    <w:rsid w:val="00193F80"/>
    <w:rsid w:val="00196ECF"/>
    <w:rsid w:val="001E4BD0"/>
    <w:rsid w:val="00222120"/>
    <w:rsid w:val="002356EA"/>
    <w:rsid w:val="00247FF9"/>
    <w:rsid w:val="00277EF2"/>
    <w:rsid w:val="002873C5"/>
    <w:rsid w:val="002979E3"/>
    <w:rsid w:val="002A6EF0"/>
    <w:rsid w:val="002B14BD"/>
    <w:rsid w:val="002C22FB"/>
    <w:rsid w:val="002F5766"/>
    <w:rsid w:val="002F795F"/>
    <w:rsid w:val="00304FD1"/>
    <w:rsid w:val="00387865"/>
    <w:rsid w:val="003D0263"/>
    <w:rsid w:val="003E412F"/>
    <w:rsid w:val="00442820"/>
    <w:rsid w:val="00450552"/>
    <w:rsid w:val="0045374F"/>
    <w:rsid w:val="00460092"/>
    <w:rsid w:val="004D509E"/>
    <w:rsid w:val="004E0BCE"/>
    <w:rsid w:val="005542CF"/>
    <w:rsid w:val="005C10DD"/>
    <w:rsid w:val="00670EFE"/>
    <w:rsid w:val="00675483"/>
    <w:rsid w:val="006813B1"/>
    <w:rsid w:val="00722845"/>
    <w:rsid w:val="00756EED"/>
    <w:rsid w:val="00842670"/>
    <w:rsid w:val="008D67B6"/>
    <w:rsid w:val="009B4DD5"/>
    <w:rsid w:val="00A3466F"/>
    <w:rsid w:val="00A5455B"/>
    <w:rsid w:val="00A97C44"/>
    <w:rsid w:val="00B077D5"/>
    <w:rsid w:val="00B771C4"/>
    <w:rsid w:val="00B94877"/>
    <w:rsid w:val="00BE736F"/>
    <w:rsid w:val="00C816F0"/>
    <w:rsid w:val="00C907B9"/>
    <w:rsid w:val="00CB6CFE"/>
    <w:rsid w:val="00CE4B72"/>
    <w:rsid w:val="00CE50F5"/>
    <w:rsid w:val="00D143C7"/>
    <w:rsid w:val="00E36AEC"/>
    <w:rsid w:val="00E816AE"/>
    <w:rsid w:val="00E9721E"/>
    <w:rsid w:val="00EB2337"/>
    <w:rsid w:val="00EC421D"/>
    <w:rsid w:val="00ED18AE"/>
    <w:rsid w:val="00F707C8"/>
    <w:rsid w:val="00F717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Standard"/>
    <w:pPr>
      <w:keepNext/>
      <w:jc w:val="center"/>
      <w:outlineLvl w:val="0"/>
    </w:pPr>
    <w:rPr>
      <w:b/>
      <w:bCs/>
    </w:rPr>
  </w:style>
  <w:style w:type="paragraph" w:styleId="Ttulo2">
    <w:name w:val="heading 2"/>
    <w:basedOn w:val="Standard"/>
    <w:next w:val="Standard"/>
    <w:pPr>
      <w:keepNext/>
      <w:spacing w:before="240" w:after="60"/>
      <w:outlineLvl w:val="1"/>
    </w:pPr>
    <w:rPr>
      <w:rFonts w:ascii="Cambria" w:hAnsi="Cambria"/>
      <w:b/>
      <w:bCs/>
      <w:i/>
      <w:iCs/>
      <w:sz w:val="28"/>
      <w:szCs w:val="28"/>
    </w:rPr>
  </w:style>
  <w:style w:type="paragraph" w:styleId="Ttulo3">
    <w:name w:val="heading 3"/>
    <w:basedOn w:val="Standard"/>
    <w:next w:val="Standard"/>
    <w:pPr>
      <w:keepNext/>
      <w:outlineLvl w:val="2"/>
    </w:pPr>
    <w:rPr>
      <w:rFonts w:ascii="Tahoma" w:hAnsi="Tahoma" w:cs="Tahoma"/>
      <w:b/>
      <w:bCs/>
      <w:sz w:val="21"/>
    </w:rPr>
  </w:style>
  <w:style w:type="paragraph" w:styleId="Ttulo7">
    <w:name w:val="heading 7"/>
    <w:basedOn w:val="Standard"/>
    <w:next w:val="Standard"/>
    <w:pPr>
      <w:keepNext/>
      <w:jc w:val="both"/>
      <w:outlineLvl w:val="6"/>
    </w:pPr>
    <w:rPr>
      <w:szCs w:val="20"/>
    </w:rPr>
  </w:style>
  <w:style w:type="paragraph" w:styleId="Ttulo8">
    <w:name w:val="heading 8"/>
    <w:basedOn w:val="Normal"/>
    <w:next w:val="Normal"/>
    <w:link w:val="Ttulo8Char"/>
    <w:uiPriority w:val="9"/>
    <w:semiHidden/>
    <w:unhideWhenUsed/>
    <w:qFormat/>
    <w:rsid w:val="00670EFE"/>
    <w:pPr>
      <w:keepNext/>
      <w:keepLines/>
      <w:spacing w:before="200"/>
      <w:outlineLvl w:val="7"/>
    </w:pPr>
    <w:rPr>
      <w:rFonts w:asciiTheme="majorHAnsi" w:eastAsiaTheme="majorEastAsia" w:hAnsiTheme="majorHAnsi"/>
      <w:color w:val="404040" w:themeColor="text1" w:themeTint="BF"/>
      <w:sz w:val="20"/>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pPr>
    <w:rPr>
      <w:rFonts w:eastAsia="Times New Roman" w:cs="Times New Roman"/>
      <w:lang w:bidi="ar-SA"/>
    </w:rPr>
  </w:style>
  <w:style w:type="paragraph" w:styleId="Ttulo">
    <w:name w:val="Title"/>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pPr>
      <w:spacing w:after="120"/>
    </w:pPr>
  </w:style>
  <w:style w:type="paragraph" w:styleId="Subttulo">
    <w:name w:val="Subtitle"/>
    <w:basedOn w:val="Ttulo"/>
    <w:next w:val="Textbody"/>
    <w:pPr>
      <w:jc w:val="center"/>
    </w:pPr>
    <w:rPr>
      <w:i/>
      <w:iCs/>
    </w:r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Footnote">
    <w:name w:val="Footnote"/>
    <w:basedOn w:val="Standard"/>
    <w:rPr>
      <w:sz w:val="20"/>
      <w:szCs w:val="20"/>
    </w:rPr>
  </w:style>
  <w:style w:type="paragraph" w:styleId="Corpodetexto3">
    <w:name w:val="Body Text 3"/>
    <w:basedOn w:val="Standard"/>
    <w:pPr>
      <w:tabs>
        <w:tab w:val="left" w:pos="3312"/>
      </w:tabs>
      <w:jc w:val="both"/>
    </w:pPr>
    <w:rPr>
      <w:rFonts w:ascii="Tahoma" w:hAnsi="Tahoma" w:cs="Tahoma"/>
    </w:rPr>
  </w:style>
  <w:style w:type="paragraph" w:styleId="Cabealho">
    <w:name w:val="header"/>
    <w:basedOn w:val="Standard"/>
    <w:pPr>
      <w:tabs>
        <w:tab w:val="center" w:pos="4419"/>
        <w:tab w:val="right" w:pos="8838"/>
      </w:tabs>
    </w:pPr>
  </w:style>
  <w:style w:type="paragraph" w:styleId="Rodap">
    <w:name w:val="footer"/>
    <w:basedOn w:val="Standard"/>
    <w:pPr>
      <w:tabs>
        <w:tab w:val="center" w:pos="4419"/>
        <w:tab w:val="right" w:pos="8838"/>
      </w:tabs>
    </w:pPr>
  </w:style>
  <w:style w:type="paragraph" w:styleId="NormalWeb">
    <w:name w:val="Normal (Web)"/>
    <w:basedOn w:val="Standard"/>
    <w:pPr>
      <w:spacing w:before="280" w:after="280"/>
    </w:pPr>
    <w:rPr>
      <w:rFonts w:ascii="Arial Unicode MS" w:eastAsia="Arial Unicode MS" w:hAnsi="Arial Unicode MS" w:cs="Arial Unicode MS"/>
    </w:rPr>
  </w:style>
  <w:style w:type="paragraph" w:customStyle="1" w:styleId="TableContents">
    <w:name w:val="Table Contents"/>
    <w:basedOn w:val="Standard"/>
    <w:pPr>
      <w:suppressLineNumbers/>
    </w:pPr>
  </w:style>
  <w:style w:type="paragraph" w:customStyle="1" w:styleId="TableHeading">
    <w:name w:val="Table Heading"/>
    <w:basedOn w:val="Standard"/>
    <w:pPr>
      <w:suppressLineNumbers/>
      <w:jc w:val="center"/>
    </w:pPr>
    <w:rPr>
      <w:b/>
      <w:bCs/>
    </w:rPr>
  </w:style>
  <w:style w:type="paragraph" w:styleId="Recuodecorpodetexto3">
    <w:name w:val="Body Text Indent 3"/>
    <w:basedOn w:val="Standard"/>
    <w:pPr>
      <w:ind w:left="240" w:firstLine="468"/>
      <w:jc w:val="both"/>
    </w:pPr>
  </w:style>
  <w:style w:type="paragraph" w:customStyle="1" w:styleId="msobodyte0pt">
    <w:name w:val="msobodyte.0pt"/>
    <w:basedOn w:val="Standard"/>
    <w:pPr>
      <w:spacing w:before="280" w:after="280"/>
    </w:pPr>
    <w:rPr>
      <w:rFonts w:ascii="Arial Unicode MS" w:eastAsia="Arial Unicode MS" w:hAnsi="Arial Unicode MS" w:cs="Arial Unicode MS"/>
      <w:color w:val="000000"/>
    </w:rPr>
  </w:style>
  <w:style w:type="paragraph" w:customStyle="1" w:styleId="msobodytex0pt">
    <w:name w:val="msobodytex.0pt"/>
    <w:basedOn w:val="Standard"/>
    <w:pPr>
      <w:spacing w:before="280" w:after="280"/>
    </w:pPr>
    <w:rPr>
      <w:rFonts w:ascii="Arial Unicode MS" w:eastAsia="Arial Unicode MS" w:hAnsi="Arial Unicode MS" w:cs="Arial Unicode MS"/>
      <w:color w:val="000000"/>
    </w:rPr>
  </w:style>
  <w:style w:type="paragraph" w:styleId="TextosemFormatao">
    <w:name w:val="Plain Text"/>
    <w:basedOn w:val="Standard"/>
    <w:rPr>
      <w:rFonts w:ascii="Courier New" w:hAnsi="Courier New" w:cs="Courier New"/>
      <w:sz w:val="20"/>
      <w:szCs w:val="20"/>
    </w:rPr>
  </w:style>
  <w:style w:type="paragraph" w:customStyle="1" w:styleId="style3">
    <w:name w:val="style3"/>
    <w:basedOn w:val="Standard"/>
    <w:pPr>
      <w:spacing w:before="280" w:after="280"/>
    </w:pPr>
  </w:style>
  <w:style w:type="paragraph" w:customStyle="1" w:styleId="Textbodyindent">
    <w:name w:val="Text body indent"/>
    <w:basedOn w:val="Standard"/>
    <w:pPr>
      <w:ind w:left="1701" w:firstLine="709"/>
      <w:jc w:val="both"/>
    </w:pPr>
    <w:rPr>
      <w:rFonts w:ascii="Garamond" w:hAnsi="Garamond" w:cs="Garamond"/>
    </w:rPr>
  </w:style>
  <w:style w:type="paragraph" w:styleId="Recuodecorpodetexto2">
    <w:name w:val="Body Text Indent 2"/>
    <w:basedOn w:val="Standard"/>
    <w:pPr>
      <w:ind w:firstLine="374"/>
      <w:jc w:val="both"/>
    </w:pPr>
    <w:rPr>
      <w:rFonts w:ascii="Garamond" w:hAnsi="Garamond" w:cs="Garamond"/>
    </w:r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rPr>
      <w:rFonts w:ascii="Symbol" w:eastAsia="Times New Roman" w:hAnsi="Symbol" w:cs="Times New Roman"/>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Garamond" w:hAnsi="Garamond" w:cs="Garamond"/>
      <w:b/>
      <w:bC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FootnoteSymbol">
    <w:name w:val="Footnote Symbol"/>
    <w:rPr>
      <w:position w:val="0"/>
      <w:vertAlign w:val="superscript"/>
    </w:rPr>
  </w:style>
  <w:style w:type="character" w:styleId="Nmerodepgina">
    <w:name w:val="page number"/>
    <w:basedOn w:val="Fontepargpadro"/>
  </w:style>
  <w:style w:type="character" w:customStyle="1" w:styleId="Internetlink">
    <w:name w:val="Internet link"/>
    <w:rPr>
      <w:color w:val="0000FF"/>
      <w:u w:val="single"/>
    </w:rPr>
  </w:style>
  <w:style w:type="character" w:customStyle="1" w:styleId="h1">
    <w:name w:val="h1"/>
    <w:basedOn w:val="Fontepargpadro"/>
  </w:style>
  <w:style w:type="character" w:customStyle="1" w:styleId="Ttulo2Char">
    <w:name w:val="Título 2 Char"/>
    <w:rPr>
      <w:rFonts w:ascii="Cambria" w:eastAsia="Times New Roman" w:hAnsi="Cambria" w:cs="Times New Roman"/>
      <w:b/>
      <w:bCs/>
      <w:i/>
      <w:iCs/>
      <w:sz w:val="28"/>
      <w:szCs w:val="28"/>
    </w:rPr>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styleId="nfase">
    <w:name w:val="Emphasis"/>
    <w:rPr>
      <w:i/>
      <w:iCs/>
    </w:rPr>
  </w:style>
  <w:style w:type="character" w:customStyle="1" w:styleId="StrongEmphasis">
    <w:name w:val="Strong Emphasis"/>
    <w:rPr>
      <w:b/>
      <w:bCs/>
    </w:rPr>
  </w:style>
  <w:style w:type="character" w:customStyle="1" w:styleId="NumberingSymbols">
    <w:name w:val="Numbering Symbols"/>
  </w:style>
  <w:style w:type="numbering" w:customStyle="1" w:styleId="WW8Num1">
    <w:name w:val="WW8Num1"/>
    <w:basedOn w:val="Semlista"/>
    <w:pPr>
      <w:numPr>
        <w:numId w:val="1"/>
      </w:numPr>
    </w:pPr>
  </w:style>
  <w:style w:type="numbering" w:customStyle="1" w:styleId="WW8Num2">
    <w:name w:val="WW8Num2"/>
    <w:basedOn w:val="Semlista"/>
    <w:pPr>
      <w:numPr>
        <w:numId w:val="2"/>
      </w:numPr>
    </w:pPr>
  </w:style>
  <w:style w:type="numbering" w:customStyle="1" w:styleId="WW8Num3">
    <w:name w:val="WW8Num3"/>
    <w:basedOn w:val="Semlista"/>
    <w:pPr>
      <w:numPr>
        <w:numId w:val="3"/>
      </w:numPr>
    </w:pPr>
  </w:style>
  <w:style w:type="numbering" w:customStyle="1" w:styleId="WW8Num4">
    <w:name w:val="WW8Num4"/>
    <w:basedOn w:val="Semlista"/>
    <w:pPr>
      <w:numPr>
        <w:numId w:val="4"/>
      </w:numPr>
    </w:pPr>
  </w:style>
  <w:style w:type="character" w:styleId="Refdenotaderodap">
    <w:name w:val="footnote reference"/>
    <w:aliases w:val="Ref. de nota de rodapé1"/>
    <w:basedOn w:val="Fontepargpadro"/>
    <w:semiHidden/>
    <w:unhideWhenUsed/>
    <w:rPr>
      <w:vertAlign w:val="superscript"/>
    </w:rPr>
  </w:style>
  <w:style w:type="paragraph" w:styleId="Textodebalo">
    <w:name w:val="Balloon Text"/>
    <w:basedOn w:val="Normal"/>
    <w:link w:val="TextodebaloChar"/>
    <w:uiPriority w:val="99"/>
    <w:semiHidden/>
    <w:unhideWhenUsed/>
    <w:rsid w:val="00222120"/>
    <w:rPr>
      <w:rFonts w:ascii="Tahoma" w:hAnsi="Tahoma"/>
      <w:sz w:val="16"/>
      <w:szCs w:val="14"/>
    </w:rPr>
  </w:style>
  <w:style w:type="character" w:customStyle="1" w:styleId="TextodebaloChar">
    <w:name w:val="Texto de balão Char"/>
    <w:basedOn w:val="Fontepargpadro"/>
    <w:link w:val="Textodebalo"/>
    <w:uiPriority w:val="99"/>
    <w:semiHidden/>
    <w:rsid w:val="00222120"/>
    <w:rPr>
      <w:rFonts w:ascii="Tahoma" w:hAnsi="Tahoma"/>
      <w:sz w:val="16"/>
      <w:szCs w:val="14"/>
    </w:rPr>
  </w:style>
  <w:style w:type="paragraph" w:styleId="PargrafodaLista">
    <w:name w:val="List Paragraph"/>
    <w:basedOn w:val="Normal"/>
    <w:uiPriority w:val="34"/>
    <w:qFormat/>
    <w:rsid w:val="00222120"/>
    <w:pPr>
      <w:ind w:left="720"/>
      <w:contextualSpacing/>
    </w:pPr>
    <w:rPr>
      <w:szCs w:val="21"/>
    </w:rPr>
  </w:style>
  <w:style w:type="paragraph" w:styleId="Textodenotaderodap">
    <w:name w:val="footnote text"/>
    <w:aliases w:val="Texto de nota de rodapé1"/>
    <w:basedOn w:val="Normal"/>
    <w:link w:val="TextodenotaderodapChar"/>
    <w:semiHidden/>
    <w:rsid w:val="005542CF"/>
    <w:pPr>
      <w:widowControl/>
      <w:suppressAutoHyphens w:val="0"/>
      <w:autoSpaceDN/>
      <w:textAlignment w:val="auto"/>
    </w:pPr>
    <w:rPr>
      <w:rFonts w:eastAsia="Times New Roman" w:cs="Times New Roman"/>
      <w:kern w:val="0"/>
      <w:sz w:val="20"/>
      <w:szCs w:val="20"/>
      <w:lang w:eastAsia="pt-BR" w:bidi="ar-SA"/>
    </w:rPr>
  </w:style>
  <w:style w:type="character" w:customStyle="1" w:styleId="TextodenotaderodapChar">
    <w:name w:val="Texto de nota de rodapé Char"/>
    <w:aliases w:val="Texto de nota de rodapé1 Char"/>
    <w:basedOn w:val="Fontepargpadro"/>
    <w:link w:val="Textodenotaderodap"/>
    <w:semiHidden/>
    <w:rsid w:val="005542CF"/>
    <w:rPr>
      <w:rFonts w:eastAsia="Times New Roman" w:cs="Times New Roman"/>
      <w:kern w:val="0"/>
      <w:sz w:val="20"/>
      <w:szCs w:val="20"/>
      <w:lang w:eastAsia="pt-BR" w:bidi="ar-SA"/>
    </w:rPr>
  </w:style>
  <w:style w:type="character" w:customStyle="1" w:styleId="object">
    <w:name w:val="object"/>
    <w:basedOn w:val="Fontepargpadro"/>
    <w:rsid w:val="005542CF"/>
  </w:style>
  <w:style w:type="table" w:styleId="Tabelacomgrade">
    <w:name w:val="Table Grid"/>
    <w:basedOn w:val="Tabelanormal"/>
    <w:uiPriority w:val="59"/>
    <w:rsid w:val="0055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har">
    <w:name w:val="Título 8 Char"/>
    <w:basedOn w:val="Fontepargpadro"/>
    <w:link w:val="Ttulo8"/>
    <w:uiPriority w:val="9"/>
    <w:semiHidden/>
    <w:rsid w:val="00670EFE"/>
    <w:rPr>
      <w:rFonts w:asciiTheme="majorHAnsi" w:eastAsiaTheme="majorEastAsia" w:hAnsiTheme="majorHAnsi"/>
      <w:color w:val="404040" w:themeColor="text1" w:themeTint="BF"/>
      <w:sz w:val="20"/>
      <w:szCs w:val="18"/>
    </w:rPr>
  </w:style>
  <w:style w:type="paragraph" w:styleId="Corpodetexto">
    <w:name w:val="Body Text"/>
    <w:basedOn w:val="Normal"/>
    <w:link w:val="CorpodetextoChar"/>
    <w:uiPriority w:val="99"/>
    <w:semiHidden/>
    <w:unhideWhenUsed/>
    <w:rsid w:val="00D143C7"/>
    <w:pPr>
      <w:spacing w:after="120"/>
    </w:pPr>
    <w:rPr>
      <w:szCs w:val="21"/>
    </w:rPr>
  </w:style>
  <w:style w:type="character" w:customStyle="1" w:styleId="CorpodetextoChar">
    <w:name w:val="Corpo de texto Char"/>
    <w:basedOn w:val="Fontepargpadro"/>
    <w:link w:val="Corpodetexto"/>
    <w:uiPriority w:val="99"/>
    <w:semiHidden/>
    <w:rsid w:val="00D143C7"/>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pt-B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Standard"/>
    <w:next w:val="Standard"/>
    <w:pPr>
      <w:keepNext/>
      <w:jc w:val="center"/>
      <w:outlineLvl w:val="0"/>
    </w:pPr>
    <w:rPr>
      <w:b/>
      <w:bCs/>
    </w:rPr>
  </w:style>
  <w:style w:type="paragraph" w:styleId="Ttulo2">
    <w:name w:val="heading 2"/>
    <w:basedOn w:val="Standard"/>
    <w:next w:val="Standard"/>
    <w:pPr>
      <w:keepNext/>
      <w:spacing w:before="240" w:after="60"/>
      <w:outlineLvl w:val="1"/>
    </w:pPr>
    <w:rPr>
      <w:rFonts w:ascii="Cambria" w:hAnsi="Cambria"/>
      <w:b/>
      <w:bCs/>
      <w:i/>
      <w:iCs/>
      <w:sz w:val="28"/>
      <w:szCs w:val="28"/>
    </w:rPr>
  </w:style>
  <w:style w:type="paragraph" w:styleId="Ttulo3">
    <w:name w:val="heading 3"/>
    <w:basedOn w:val="Standard"/>
    <w:next w:val="Standard"/>
    <w:pPr>
      <w:keepNext/>
      <w:outlineLvl w:val="2"/>
    </w:pPr>
    <w:rPr>
      <w:rFonts w:ascii="Tahoma" w:hAnsi="Tahoma" w:cs="Tahoma"/>
      <w:b/>
      <w:bCs/>
      <w:sz w:val="21"/>
    </w:rPr>
  </w:style>
  <w:style w:type="paragraph" w:styleId="Ttulo7">
    <w:name w:val="heading 7"/>
    <w:basedOn w:val="Standard"/>
    <w:next w:val="Standard"/>
    <w:pPr>
      <w:keepNext/>
      <w:jc w:val="both"/>
      <w:outlineLvl w:val="6"/>
    </w:pPr>
    <w:rPr>
      <w:szCs w:val="20"/>
    </w:rPr>
  </w:style>
  <w:style w:type="paragraph" w:styleId="Ttulo8">
    <w:name w:val="heading 8"/>
    <w:basedOn w:val="Normal"/>
    <w:next w:val="Normal"/>
    <w:link w:val="Ttulo8Char"/>
    <w:uiPriority w:val="9"/>
    <w:semiHidden/>
    <w:unhideWhenUsed/>
    <w:qFormat/>
    <w:rsid w:val="00670EFE"/>
    <w:pPr>
      <w:keepNext/>
      <w:keepLines/>
      <w:spacing w:before="200"/>
      <w:outlineLvl w:val="7"/>
    </w:pPr>
    <w:rPr>
      <w:rFonts w:asciiTheme="majorHAnsi" w:eastAsiaTheme="majorEastAsia" w:hAnsiTheme="majorHAnsi"/>
      <w:color w:val="404040" w:themeColor="text1" w:themeTint="BF"/>
      <w:sz w:val="20"/>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pPr>
    <w:rPr>
      <w:rFonts w:eastAsia="Times New Roman" w:cs="Times New Roman"/>
      <w:lang w:bidi="ar-SA"/>
    </w:rPr>
  </w:style>
  <w:style w:type="paragraph" w:styleId="Ttulo">
    <w:name w:val="Title"/>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pPr>
      <w:spacing w:after="120"/>
    </w:pPr>
  </w:style>
  <w:style w:type="paragraph" w:styleId="Subttulo">
    <w:name w:val="Subtitle"/>
    <w:basedOn w:val="Ttulo"/>
    <w:next w:val="Textbody"/>
    <w:pPr>
      <w:jc w:val="center"/>
    </w:pPr>
    <w:rPr>
      <w:i/>
      <w:iCs/>
    </w:r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Footnote">
    <w:name w:val="Footnote"/>
    <w:basedOn w:val="Standard"/>
    <w:rPr>
      <w:sz w:val="20"/>
      <w:szCs w:val="20"/>
    </w:rPr>
  </w:style>
  <w:style w:type="paragraph" w:styleId="Corpodetexto3">
    <w:name w:val="Body Text 3"/>
    <w:basedOn w:val="Standard"/>
    <w:pPr>
      <w:tabs>
        <w:tab w:val="left" w:pos="3312"/>
      </w:tabs>
      <w:jc w:val="both"/>
    </w:pPr>
    <w:rPr>
      <w:rFonts w:ascii="Tahoma" w:hAnsi="Tahoma" w:cs="Tahoma"/>
    </w:rPr>
  </w:style>
  <w:style w:type="paragraph" w:styleId="Cabealho">
    <w:name w:val="header"/>
    <w:basedOn w:val="Standard"/>
    <w:pPr>
      <w:tabs>
        <w:tab w:val="center" w:pos="4419"/>
        <w:tab w:val="right" w:pos="8838"/>
      </w:tabs>
    </w:pPr>
  </w:style>
  <w:style w:type="paragraph" w:styleId="Rodap">
    <w:name w:val="footer"/>
    <w:basedOn w:val="Standard"/>
    <w:pPr>
      <w:tabs>
        <w:tab w:val="center" w:pos="4419"/>
        <w:tab w:val="right" w:pos="8838"/>
      </w:tabs>
    </w:pPr>
  </w:style>
  <w:style w:type="paragraph" w:styleId="NormalWeb">
    <w:name w:val="Normal (Web)"/>
    <w:basedOn w:val="Standard"/>
    <w:pPr>
      <w:spacing w:before="280" w:after="280"/>
    </w:pPr>
    <w:rPr>
      <w:rFonts w:ascii="Arial Unicode MS" w:eastAsia="Arial Unicode MS" w:hAnsi="Arial Unicode MS" w:cs="Arial Unicode MS"/>
    </w:rPr>
  </w:style>
  <w:style w:type="paragraph" w:customStyle="1" w:styleId="TableContents">
    <w:name w:val="Table Contents"/>
    <w:basedOn w:val="Standard"/>
    <w:pPr>
      <w:suppressLineNumbers/>
    </w:pPr>
  </w:style>
  <w:style w:type="paragraph" w:customStyle="1" w:styleId="TableHeading">
    <w:name w:val="Table Heading"/>
    <w:basedOn w:val="Standard"/>
    <w:pPr>
      <w:suppressLineNumbers/>
      <w:jc w:val="center"/>
    </w:pPr>
    <w:rPr>
      <w:b/>
      <w:bCs/>
    </w:rPr>
  </w:style>
  <w:style w:type="paragraph" w:styleId="Recuodecorpodetexto3">
    <w:name w:val="Body Text Indent 3"/>
    <w:basedOn w:val="Standard"/>
    <w:pPr>
      <w:ind w:left="240" w:firstLine="468"/>
      <w:jc w:val="both"/>
    </w:pPr>
  </w:style>
  <w:style w:type="paragraph" w:customStyle="1" w:styleId="msobodyte0pt">
    <w:name w:val="msobodyte.0pt"/>
    <w:basedOn w:val="Standard"/>
    <w:pPr>
      <w:spacing w:before="280" w:after="280"/>
    </w:pPr>
    <w:rPr>
      <w:rFonts w:ascii="Arial Unicode MS" w:eastAsia="Arial Unicode MS" w:hAnsi="Arial Unicode MS" w:cs="Arial Unicode MS"/>
      <w:color w:val="000000"/>
    </w:rPr>
  </w:style>
  <w:style w:type="paragraph" w:customStyle="1" w:styleId="msobodytex0pt">
    <w:name w:val="msobodytex.0pt"/>
    <w:basedOn w:val="Standard"/>
    <w:pPr>
      <w:spacing w:before="280" w:after="280"/>
    </w:pPr>
    <w:rPr>
      <w:rFonts w:ascii="Arial Unicode MS" w:eastAsia="Arial Unicode MS" w:hAnsi="Arial Unicode MS" w:cs="Arial Unicode MS"/>
      <w:color w:val="000000"/>
    </w:rPr>
  </w:style>
  <w:style w:type="paragraph" w:styleId="TextosemFormatao">
    <w:name w:val="Plain Text"/>
    <w:basedOn w:val="Standard"/>
    <w:rPr>
      <w:rFonts w:ascii="Courier New" w:hAnsi="Courier New" w:cs="Courier New"/>
      <w:sz w:val="20"/>
      <w:szCs w:val="20"/>
    </w:rPr>
  </w:style>
  <w:style w:type="paragraph" w:customStyle="1" w:styleId="style3">
    <w:name w:val="style3"/>
    <w:basedOn w:val="Standard"/>
    <w:pPr>
      <w:spacing w:before="280" w:after="280"/>
    </w:pPr>
  </w:style>
  <w:style w:type="paragraph" w:customStyle="1" w:styleId="Textbodyindent">
    <w:name w:val="Text body indent"/>
    <w:basedOn w:val="Standard"/>
    <w:pPr>
      <w:ind w:left="1701" w:firstLine="709"/>
      <w:jc w:val="both"/>
    </w:pPr>
    <w:rPr>
      <w:rFonts w:ascii="Garamond" w:hAnsi="Garamond" w:cs="Garamond"/>
    </w:rPr>
  </w:style>
  <w:style w:type="paragraph" w:styleId="Recuodecorpodetexto2">
    <w:name w:val="Body Text Indent 2"/>
    <w:basedOn w:val="Standard"/>
    <w:pPr>
      <w:ind w:firstLine="374"/>
      <w:jc w:val="both"/>
    </w:pPr>
    <w:rPr>
      <w:rFonts w:ascii="Garamond" w:hAnsi="Garamond" w:cs="Garamond"/>
    </w:r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rPr>
      <w:rFonts w:ascii="Symbol" w:eastAsia="Times New Roman" w:hAnsi="Symbol" w:cs="Times New Roman"/>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Garamond" w:hAnsi="Garamond" w:cs="Garamond"/>
      <w:b/>
      <w:bC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FootnoteSymbol">
    <w:name w:val="Footnote Symbol"/>
    <w:rPr>
      <w:position w:val="0"/>
      <w:vertAlign w:val="superscript"/>
    </w:rPr>
  </w:style>
  <w:style w:type="character" w:styleId="Nmerodepgina">
    <w:name w:val="page number"/>
    <w:basedOn w:val="Fontepargpadro"/>
  </w:style>
  <w:style w:type="character" w:customStyle="1" w:styleId="Internetlink">
    <w:name w:val="Internet link"/>
    <w:rPr>
      <w:color w:val="0000FF"/>
      <w:u w:val="single"/>
    </w:rPr>
  </w:style>
  <w:style w:type="character" w:customStyle="1" w:styleId="h1">
    <w:name w:val="h1"/>
    <w:basedOn w:val="Fontepargpadro"/>
  </w:style>
  <w:style w:type="character" w:customStyle="1" w:styleId="Ttulo2Char">
    <w:name w:val="Título 2 Char"/>
    <w:rPr>
      <w:rFonts w:ascii="Cambria" w:eastAsia="Times New Roman" w:hAnsi="Cambria" w:cs="Times New Roman"/>
      <w:b/>
      <w:bCs/>
      <w:i/>
      <w:iCs/>
      <w:sz w:val="28"/>
      <w:szCs w:val="28"/>
    </w:rPr>
  </w:style>
  <w:style w:type="character" w:customStyle="1" w:styleId="Footnoteanchor">
    <w:name w:val="Footnote anchor"/>
    <w:rPr>
      <w:position w:val="0"/>
      <w:vertAlign w:val="superscript"/>
    </w:rPr>
  </w:style>
  <w:style w:type="character" w:customStyle="1" w:styleId="BulletSymbols">
    <w:name w:val="Bullet Symbols"/>
    <w:rPr>
      <w:rFonts w:ascii="OpenSymbol" w:eastAsia="OpenSymbol" w:hAnsi="OpenSymbol" w:cs="OpenSymbol"/>
    </w:rPr>
  </w:style>
  <w:style w:type="character" w:styleId="nfase">
    <w:name w:val="Emphasis"/>
    <w:rPr>
      <w:i/>
      <w:iCs/>
    </w:rPr>
  </w:style>
  <w:style w:type="character" w:customStyle="1" w:styleId="StrongEmphasis">
    <w:name w:val="Strong Emphasis"/>
    <w:rPr>
      <w:b/>
      <w:bCs/>
    </w:rPr>
  </w:style>
  <w:style w:type="character" w:customStyle="1" w:styleId="NumberingSymbols">
    <w:name w:val="Numbering Symbols"/>
  </w:style>
  <w:style w:type="numbering" w:customStyle="1" w:styleId="WW8Num1">
    <w:name w:val="WW8Num1"/>
    <w:basedOn w:val="Semlista"/>
    <w:pPr>
      <w:numPr>
        <w:numId w:val="1"/>
      </w:numPr>
    </w:pPr>
  </w:style>
  <w:style w:type="numbering" w:customStyle="1" w:styleId="WW8Num2">
    <w:name w:val="WW8Num2"/>
    <w:basedOn w:val="Semlista"/>
    <w:pPr>
      <w:numPr>
        <w:numId w:val="2"/>
      </w:numPr>
    </w:pPr>
  </w:style>
  <w:style w:type="numbering" w:customStyle="1" w:styleId="WW8Num3">
    <w:name w:val="WW8Num3"/>
    <w:basedOn w:val="Semlista"/>
    <w:pPr>
      <w:numPr>
        <w:numId w:val="3"/>
      </w:numPr>
    </w:pPr>
  </w:style>
  <w:style w:type="numbering" w:customStyle="1" w:styleId="WW8Num4">
    <w:name w:val="WW8Num4"/>
    <w:basedOn w:val="Semlista"/>
    <w:pPr>
      <w:numPr>
        <w:numId w:val="4"/>
      </w:numPr>
    </w:pPr>
  </w:style>
  <w:style w:type="character" w:styleId="Refdenotaderodap">
    <w:name w:val="footnote reference"/>
    <w:aliases w:val="Ref. de nota de rodapé1"/>
    <w:basedOn w:val="Fontepargpadro"/>
    <w:semiHidden/>
    <w:unhideWhenUsed/>
    <w:rPr>
      <w:vertAlign w:val="superscript"/>
    </w:rPr>
  </w:style>
  <w:style w:type="paragraph" w:styleId="Textodebalo">
    <w:name w:val="Balloon Text"/>
    <w:basedOn w:val="Normal"/>
    <w:link w:val="TextodebaloChar"/>
    <w:uiPriority w:val="99"/>
    <w:semiHidden/>
    <w:unhideWhenUsed/>
    <w:rsid w:val="00222120"/>
    <w:rPr>
      <w:rFonts w:ascii="Tahoma" w:hAnsi="Tahoma"/>
      <w:sz w:val="16"/>
      <w:szCs w:val="14"/>
    </w:rPr>
  </w:style>
  <w:style w:type="character" w:customStyle="1" w:styleId="TextodebaloChar">
    <w:name w:val="Texto de balão Char"/>
    <w:basedOn w:val="Fontepargpadro"/>
    <w:link w:val="Textodebalo"/>
    <w:uiPriority w:val="99"/>
    <w:semiHidden/>
    <w:rsid w:val="00222120"/>
    <w:rPr>
      <w:rFonts w:ascii="Tahoma" w:hAnsi="Tahoma"/>
      <w:sz w:val="16"/>
      <w:szCs w:val="14"/>
    </w:rPr>
  </w:style>
  <w:style w:type="paragraph" w:styleId="PargrafodaLista">
    <w:name w:val="List Paragraph"/>
    <w:basedOn w:val="Normal"/>
    <w:uiPriority w:val="34"/>
    <w:qFormat/>
    <w:rsid w:val="00222120"/>
    <w:pPr>
      <w:ind w:left="720"/>
      <w:contextualSpacing/>
    </w:pPr>
    <w:rPr>
      <w:szCs w:val="21"/>
    </w:rPr>
  </w:style>
  <w:style w:type="paragraph" w:styleId="Textodenotaderodap">
    <w:name w:val="footnote text"/>
    <w:aliases w:val="Texto de nota de rodapé1"/>
    <w:basedOn w:val="Normal"/>
    <w:link w:val="TextodenotaderodapChar"/>
    <w:semiHidden/>
    <w:rsid w:val="005542CF"/>
    <w:pPr>
      <w:widowControl/>
      <w:suppressAutoHyphens w:val="0"/>
      <w:autoSpaceDN/>
      <w:textAlignment w:val="auto"/>
    </w:pPr>
    <w:rPr>
      <w:rFonts w:eastAsia="Times New Roman" w:cs="Times New Roman"/>
      <w:kern w:val="0"/>
      <w:sz w:val="20"/>
      <w:szCs w:val="20"/>
      <w:lang w:eastAsia="pt-BR" w:bidi="ar-SA"/>
    </w:rPr>
  </w:style>
  <w:style w:type="character" w:customStyle="1" w:styleId="TextodenotaderodapChar">
    <w:name w:val="Texto de nota de rodapé Char"/>
    <w:aliases w:val="Texto de nota de rodapé1 Char"/>
    <w:basedOn w:val="Fontepargpadro"/>
    <w:link w:val="Textodenotaderodap"/>
    <w:semiHidden/>
    <w:rsid w:val="005542CF"/>
    <w:rPr>
      <w:rFonts w:eastAsia="Times New Roman" w:cs="Times New Roman"/>
      <w:kern w:val="0"/>
      <w:sz w:val="20"/>
      <w:szCs w:val="20"/>
      <w:lang w:eastAsia="pt-BR" w:bidi="ar-SA"/>
    </w:rPr>
  </w:style>
  <w:style w:type="character" w:customStyle="1" w:styleId="object">
    <w:name w:val="object"/>
    <w:basedOn w:val="Fontepargpadro"/>
    <w:rsid w:val="005542CF"/>
  </w:style>
  <w:style w:type="table" w:styleId="Tabelacomgrade">
    <w:name w:val="Table Grid"/>
    <w:basedOn w:val="Tabelanormal"/>
    <w:uiPriority w:val="59"/>
    <w:rsid w:val="0055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har">
    <w:name w:val="Título 8 Char"/>
    <w:basedOn w:val="Fontepargpadro"/>
    <w:link w:val="Ttulo8"/>
    <w:uiPriority w:val="9"/>
    <w:semiHidden/>
    <w:rsid w:val="00670EFE"/>
    <w:rPr>
      <w:rFonts w:asciiTheme="majorHAnsi" w:eastAsiaTheme="majorEastAsia" w:hAnsiTheme="majorHAnsi"/>
      <w:color w:val="404040" w:themeColor="text1" w:themeTint="BF"/>
      <w:sz w:val="20"/>
      <w:szCs w:val="18"/>
    </w:rPr>
  </w:style>
  <w:style w:type="paragraph" w:styleId="Corpodetexto">
    <w:name w:val="Body Text"/>
    <w:basedOn w:val="Normal"/>
    <w:link w:val="CorpodetextoChar"/>
    <w:uiPriority w:val="99"/>
    <w:semiHidden/>
    <w:unhideWhenUsed/>
    <w:rsid w:val="00D143C7"/>
    <w:pPr>
      <w:spacing w:after="120"/>
    </w:pPr>
    <w:rPr>
      <w:szCs w:val="21"/>
    </w:rPr>
  </w:style>
  <w:style w:type="character" w:customStyle="1" w:styleId="CorpodetextoChar">
    <w:name w:val="Corpo de texto Char"/>
    <w:basedOn w:val="Fontepargpadro"/>
    <w:link w:val="Corpodetexto"/>
    <w:uiPriority w:val="99"/>
    <w:semiHidden/>
    <w:rsid w:val="00D143C7"/>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153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DE172-816C-468E-A3A8-C74BBAC7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7954</Words>
  <Characters>42952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PARECER TÉCNICO N º 05/ 2017</vt:lpstr>
    </vt:vector>
  </TitlesOfParts>
  <Company>Ministério Público do Estado de Minas Gerais</Company>
  <LinksUpToDate>false</LinksUpToDate>
  <CharactersWithSpaces>50805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PARECER TÉCNICO N º 05/ 2017</dc:title>
  <dc:creator>Procuradoria Geral de Justiça de MG</dc:creator>
  <cp:lastModifiedBy>Andrea Lanna Mendes Novais</cp:lastModifiedBy>
  <cp:revision>6</cp:revision>
  <dcterms:created xsi:type="dcterms:W3CDTF">2017-08-04T21:46:00Z</dcterms:created>
  <dcterms:modified xsi:type="dcterms:W3CDTF">2017-08-22T17:43:00Z</dcterms:modified>
</cp:coreProperties>
</file>