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1.jpeg" ContentType="image/jpeg"/>
  <Override PartName="/word/media/image2.jpeg" ContentType="image/jpeg"/>
  <Override PartName="/word/media/image3.jpeg" ContentType="image/jpeg"/>
  <Override PartName="/word/media/image9.wmf" ContentType="image/x-wmf"/>
  <Override PartName="/word/media/image13.wmf" ContentType="image/x-wmf"/>
  <Override PartName="/word/media/image4.jpeg" ContentType="image/jpeg"/>
  <Override PartName="/word/media/image6.wmf" ContentType="image/x-wmf"/>
  <Override PartName="/word/media/image5.jpeg" ContentType="image/jpeg"/>
  <Override PartName="/word/media/image7.jpeg" ContentType="image/jpeg"/>
  <Override PartName="/word/media/image8.jpeg" ContentType="image/jpeg"/>
  <Override PartName="/word/media/image10.wmf" ContentType="image/x-wmf"/>
  <Override PartName="/word/media/image11.wmf" ContentType="image/x-wmf"/>
  <Override PartName="/word/media/image12.wmf" ContentType="image/x-wmf"/>
  <Override PartName="/word/media/image14.jpeg" ContentType="image/jpeg"/>
  <Override PartName="/word/media/image15.png" ContentType="image/png"/>
  <Override PartName="/word/media/image16.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foot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3"/>
        <w:spacing w:lineRule="auto" w:line="276"/>
        <w:ind w:left="1080" w:hanging="0"/>
        <w:jc w:val="center"/>
        <w:rPr>
          <w:rFonts w:ascii="Garamond" w:hAnsi="Garamond" w:cs="Garamond"/>
          <w:sz w:val="24"/>
        </w:rPr>
      </w:pPr>
      <w:r>
        <w:rPr>
          <w:rFonts w:cs="Garamond" w:ascii="Garamond" w:hAnsi="Garamond"/>
          <w:sz w:val="24"/>
        </w:rPr>
      </w:r>
    </w:p>
    <w:p>
      <w:pPr>
        <w:pStyle w:val="Ttulo3"/>
        <w:spacing w:lineRule="auto" w:line="276"/>
        <w:ind w:hanging="0"/>
        <w:jc w:val="center"/>
        <w:rPr/>
      </w:pPr>
      <w:r>
        <w:rPr>
          <w:rFonts w:cs="Garamond" w:ascii="Garamond" w:hAnsi="Garamond"/>
          <w:sz w:val="24"/>
        </w:rPr>
        <w:t>NOTA TÉCNICA N º xx/2018</w:t>
      </w:r>
    </w:p>
    <w:p>
      <w:pPr>
        <w:pStyle w:val="Standard"/>
        <w:spacing w:lineRule="auto" w:line="276"/>
        <w:jc w:val="center"/>
        <w:rPr>
          <w:rFonts w:ascii="Garamond" w:hAnsi="Garamond" w:cs="Garamond"/>
        </w:rPr>
      </w:pPr>
      <w:r>
        <w:rPr>
          <w:rFonts w:cs="Garamond" w:ascii="Garamond" w:hAnsi="Garamond"/>
        </w:rPr>
      </w:r>
    </w:p>
    <w:p>
      <w:pPr>
        <w:pStyle w:val="Ttulodetabela"/>
        <w:spacing w:lineRule="auto" w:line="276"/>
        <w:rPr>
          <w:rFonts w:ascii="Garamond" w:hAnsi="Garamond" w:cs="Garamond"/>
        </w:rPr>
      </w:pPr>
      <w:r>
        <w:rPr>
          <w:rFonts w:cs="Garamond" w:ascii="Garamond" w:hAnsi="Garamond"/>
        </w:rPr>
        <w:t>Ref: PAAF 0024.16.007502-4</w:t>
      </w:r>
    </w:p>
    <w:p>
      <w:pPr>
        <w:pStyle w:val="Standard"/>
        <w:spacing w:lineRule="auto" w:line="276"/>
        <w:jc w:val="both"/>
        <w:rPr>
          <w:rFonts w:ascii="Garamond" w:hAnsi="Garamond" w:cs="Garamond"/>
          <w:b/>
          <w:b/>
          <w:bCs/>
        </w:rPr>
      </w:pPr>
      <w:r>
        <w:rPr>
          <w:rFonts w:cs="Garamond" w:ascii="Garamond" w:hAnsi="Garamond"/>
          <w:b/>
          <w:bCs/>
        </w:rPr>
      </w:r>
    </w:p>
    <w:p>
      <w:pPr>
        <w:pStyle w:val="Standard"/>
        <w:numPr>
          <w:ilvl w:val="0"/>
          <w:numId w:val="1"/>
        </w:numPr>
        <w:spacing w:lineRule="auto" w:line="276"/>
        <w:jc w:val="both"/>
        <w:rPr/>
      </w:pPr>
      <w:r>
        <w:rPr>
          <w:rFonts w:cs="Garamond" w:ascii="Garamond" w:hAnsi="Garamond"/>
          <w:b/>
          <w:bCs/>
        </w:rPr>
        <w:t xml:space="preserve">Objeto: </w:t>
      </w:r>
      <w:r>
        <w:rPr>
          <w:rFonts w:cs="Garamond" w:ascii="Garamond" w:hAnsi="Garamond"/>
        </w:rPr>
        <w:t>Imóvel na rua São Sebastião, nº 2 / 6.</w:t>
      </w:r>
    </w:p>
    <w:p>
      <w:pPr>
        <w:pStyle w:val="Standard"/>
        <w:numPr>
          <w:ilvl w:val="0"/>
          <w:numId w:val="0"/>
        </w:numPr>
        <w:spacing w:lineRule="auto" w:line="276"/>
        <w:ind w:left="0" w:hanging="0"/>
        <w:jc w:val="both"/>
        <w:rPr/>
      </w:pPr>
      <w:r>
        <w:rPr>
          <w:rFonts w:cs="Garamond" w:ascii="Garamond" w:hAnsi="Garamond"/>
        </w:rPr>
        <w:tab/>
      </w:r>
    </w:p>
    <w:p>
      <w:pPr>
        <w:pStyle w:val="Standard"/>
        <w:numPr>
          <w:ilvl w:val="0"/>
          <w:numId w:val="1"/>
        </w:numPr>
        <w:spacing w:lineRule="auto" w:line="276"/>
        <w:jc w:val="both"/>
        <w:rPr/>
      </w:pPr>
      <w:r>
        <w:rPr>
          <w:rFonts w:cs="Garamond" w:ascii="Garamond" w:hAnsi="Garamond"/>
          <w:b/>
          <w:bCs/>
        </w:rPr>
        <w:t xml:space="preserve">Município: </w:t>
      </w:r>
      <w:r>
        <w:rPr>
          <w:rFonts w:cs="Garamond" w:ascii="Garamond" w:hAnsi="Garamond"/>
        </w:rPr>
        <w:t>Piranga</w:t>
      </w:r>
    </w:p>
    <w:p>
      <w:pPr>
        <w:pStyle w:val="Standard"/>
        <w:numPr>
          <w:ilvl w:val="0"/>
          <w:numId w:val="0"/>
        </w:numPr>
        <w:spacing w:lineRule="auto" w:line="276"/>
        <w:ind w:left="0" w:hanging="0"/>
        <w:jc w:val="both"/>
        <w:rPr>
          <w:rFonts w:ascii="Garamond" w:hAnsi="Garamond" w:cs="Garamond"/>
        </w:rPr>
      </w:pPr>
      <w:r>
        <w:rPr>
          <w:rFonts w:cs="Garamond" w:ascii="Garamond" w:hAnsi="Garamond"/>
        </w:rPr>
      </w:r>
    </w:p>
    <w:p>
      <w:pPr>
        <w:pStyle w:val="Standard"/>
        <w:numPr>
          <w:ilvl w:val="0"/>
          <w:numId w:val="1"/>
        </w:numPr>
        <w:spacing w:lineRule="auto" w:line="276"/>
        <w:jc w:val="both"/>
        <w:rPr/>
      </w:pPr>
      <w:r>
        <w:rPr>
          <w:rFonts w:cs="Garamond" w:ascii="Garamond" w:hAnsi="Garamond"/>
          <w:b/>
          <w:bCs/>
        </w:rPr>
        <w:t xml:space="preserve">Proprietário: </w:t>
      </w:r>
      <w:r>
        <w:rPr>
          <w:rFonts w:cs="Garamond" w:ascii="Garamond" w:hAnsi="Garamond"/>
          <w:bCs/>
        </w:rPr>
        <w:t>Prefeitura Municipal de Piranga</w:t>
      </w:r>
    </w:p>
    <w:p>
      <w:pPr>
        <w:pStyle w:val="Standard"/>
        <w:numPr>
          <w:ilvl w:val="0"/>
          <w:numId w:val="0"/>
        </w:numPr>
        <w:spacing w:lineRule="auto" w:line="276"/>
        <w:ind w:left="0" w:hanging="0"/>
        <w:jc w:val="both"/>
        <w:rPr>
          <w:rFonts w:ascii="Garamond" w:hAnsi="Garamond" w:cs="Garamond"/>
          <w:bCs/>
        </w:rPr>
      </w:pPr>
      <w:r>
        <w:rPr>
          <w:rFonts w:cs="Garamond" w:ascii="Garamond" w:hAnsi="Garamond"/>
          <w:bCs/>
        </w:rPr>
      </w:r>
    </w:p>
    <w:p>
      <w:pPr>
        <w:pStyle w:val="Standard"/>
        <w:numPr>
          <w:ilvl w:val="0"/>
          <w:numId w:val="1"/>
        </w:numPr>
        <w:spacing w:lineRule="auto" w:line="276"/>
        <w:jc w:val="both"/>
        <w:rPr/>
      </w:pPr>
      <w:r>
        <w:rPr>
          <w:rFonts w:ascii="Garamond" w:hAnsi="Garamond"/>
          <w:b/>
        </w:rPr>
        <w:t>Proteção existente</w:t>
      </w:r>
      <w:r>
        <w:rPr>
          <w:rFonts w:ascii="Garamond" w:hAnsi="Garamond"/>
        </w:rPr>
        <w:t>: Tombamento Municipal – Decreto 2023/2012</w:t>
      </w:r>
    </w:p>
    <w:p>
      <w:pPr>
        <w:pStyle w:val="Standard"/>
        <w:numPr>
          <w:ilvl w:val="0"/>
          <w:numId w:val="0"/>
        </w:numPr>
        <w:spacing w:lineRule="auto" w:line="276"/>
        <w:ind w:left="0" w:hanging="0"/>
        <w:jc w:val="both"/>
        <w:rPr>
          <w:rFonts w:ascii="Garamond" w:hAnsi="Garamond"/>
        </w:rPr>
      </w:pPr>
      <w:r>
        <w:rPr>
          <w:rFonts w:ascii="Garamond" w:hAnsi="Garamond"/>
        </w:rPr>
      </w:r>
    </w:p>
    <w:p>
      <w:pPr>
        <w:pStyle w:val="Standard"/>
        <w:numPr>
          <w:ilvl w:val="0"/>
          <w:numId w:val="1"/>
        </w:numPr>
        <w:spacing w:lineRule="auto" w:line="276"/>
        <w:jc w:val="both"/>
        <w:rPr/>
      </w:pPr>
      <w:r>
        <w:rPr>
          <w:rFonts w:cs="Garamond" w:ascii="Garamond" w:hAnsi="Garamond"/>
          <w:b/>
          <w:bCs/>
        </w:rPr>
        <w:t>Considerações preliminares:</w:t>
      </w:r>
    </w:p>
    <w:p>
      <w:pPr>
        <w:pStyle w:val="Standard"/>
        <w:numPr>
          <w:ilvl w:val="0"/>
          <w:numId w:val="0"/>
        </w:numPr>
        <w:spacing w:lineRule="auto" w:line="276"/>
        <w:ind w:left="0" w:hanging="0"/>
        <w:jc w:val="both"/>
        <w:rPr>
          <w:rFonts w:ascii="Garamond" w:hAnsi="Garamond" w:cs="Garamond"/>
          <w:b/>
          <w:b/>
          <w:bCs/>
        </w:rPr>
      </w:pPr>
      <w:r>
        <w:rPr>
          <w:rFonts w:cs="Garamond" w:ascii="Garamond" w:hAnsi="Garamond"/>
          <w:b/>
          <w:bCs/>
        </w:rPr>
      </w:r>
    </w:p>
    <w:p>
      <w:pPr>
        <w:pStyle w:val="Standard"/>
        <w:spacing w:lineRule="auto" w:line="276"/>
        <w:ind w:right="68" w:firstLine="708"/>
        <w:jc w:val="both"/>
        <w:rPr/>
      </w:pPr>
      <w:r>
        <w:rPr>
          <w:rFonts w:cs="Garamond" w:ascii="Garamond" w:hAnsi="Garamond"/>
        </w:rPr>
        <w:t xml:space="preserve">O imóvel em análise  foi desapropriado pelo município através do Decreto nº 1884 de 12 de abril de 2011 para instalação da Casa de Cultura do município de Piranga. Na oportunidade, foi instaurado um Inquérito Civil na Promotoria local que trata sobre o valor pago pelo município na desapropriação do imóvel, supostamente acima do valor de mercado. </w:t>
      </w:r>
    </w:p>
    <w:p>
      <w:pPr>
        <w:pStyle w:val="Standard"/>
        <w:spacing w:lineRule="auto" w:line="276"/>
        <w:ind w:right="68" w:firstLine="708"/>
        <w:jc w:val="both"/>
        <w:rPr>
          <w:rFonts w:ascii="Garamond" w:hAnsi="Garamond" w:cs="Garamond"/>
        </w:rPr>
      </w:pPr>
      <w:r>
        <w:rPr>
          <w:rFonts w:cs="Garamond" w:ascii="Garamond" w:hAnsi="Garamond"/>
        </w:rPr>
      </w:r>
    </w:p>
    <w:p>
      <w:pPr>
        <w:pStyle w:val="Standard"/>
        <w:spacing w:lineRule="auto" w:line="276"/>
        <w:ind w:right="68" w:firstLine="708"/>
        <w:jc w:val="both"/>
        <w:rPr/>
      </w:pPr>
      <w:r>
        <w:rPr>
          <w:rFonts w:cs="Garamond" w:ascii="Garamond" w:hAnsi="Garamond"/>
        </w:rPr>
        <w:t>Em 10 de maio de 2016, foi encaminhado e-mail</w:t>
      </w:r>
      <w:r>
        <w:rPr>
          <w:rStyle w:val="Ncoradanotaderodap"/>
          <w:rStyle w:val="Ncoradanotaderodap"/>
          <w:rFonts w:cs="Garamond" w:ascii="Garamond" w:hAnsi="Garamond"/>
        </w:rPr>
        <w:footnoteReference w:id="2"/>
      </w:r>
      <w:r>
        <w:rPr>
          <w:rFonts w:cs="Garamond" w:ascii="Garamond" w:hAnsi="Garamond"/>
        </w:rPr>
        <w:t xml:space="preserve"> a esta Promotoria informando sobre o estado de conservação do imóvel tombado pelo Município de Piranga conhecido como Casarão do Cônego Felício. O texto </w:t>
      </w:r>
      <w:r>
        <w:rPr>
          <w:rFonts w:cs="Garamond" w:ascii="Garamond" w:hAnsi="Garamond"/>
        </w:rPr>
        <w:t>e as imagens</w:t>
      </w:r>
      <w:r>
        <w:rPr>
          <w:rFonts w:cs="Garamond" w:ascii="Garamond" w:hAnsi="Garamond"/>
        </w:rPr>
        <w:t xml:space="preserve"> demonstra</w:t>
      </w:r>
      <w:r>
        <w:rPr>
          <w:rFonts w:cs="Garamond" w:ascii="Garamond" w:hAnsi="Garamond"/>
        </w:rPr>
        <w:t>m</w:t>
      </w:r>
      <w:r>
        <w:rPr>
          <w:rFonts w:cs="Garamond" w:ascii="Garamond" w:hAnsi="Garamond"/>
        </w:rPr>
        <w:t xml:space="preserve"> o abandono do casarão, em precário estado, com danos na cobertura e esquadrias, arruinamento de t</w:t>
      </w:r>
      <w:r>
        <w:rPr>
          <w:rFonts w:cs="Garamond" w:ascii="Garamond" w:hAnsi="Garamond"/>
        </w:rPr>
        <w:t>r</w:t>
      </w:r>
      <w:r>
        <w:rPr>
          <w:rFonts w:cs="Garamond" w:ascii="Garamond" w:hAnsi="Garamond"/>
        </w:rPr>
        <w:t xml:space="preserve">echos das alvenarias, marcas de umidade, entre outras patologias. </w:t>
      </w:r>
    </w:p>
    <w:p>
      <w:pPr>
        <w:pStyle w:val="Standard"/>
        <w:spacing w:lineRule="auto" w:line="276"/>
        <w:ind w:right="68" w:firstLine="708"/>
        <w:jc w:val="both"/>
        <w:rPr>
          <w:rFonts w:ascii="Garamond" w:hAnsi="Garamond" w:cs="Garamond"/>
        </w:rPr>
      </w:pPr>
      <w:r>
        <w:rPr>
          <w:rFonts w:cs="Garamond" w:ascii="Garamond" w:hAnsi="Garamond"/>
        </w:rPr>
      </w:r>
    </w:p>
    <w:p>
      <w:pPr>
        <w:pStyle w:val="Standard"/>
        <w:spacing w:lineRule="auto" w:line="276"/>
        <w:ind w:right="68" w:firstLine="708"/>
        <w:jc w:val="both"/>
        <w:rPr/>
      </w:pPr>
      <w:r>
        <w:rPr>
          <w:rFonts w:cs="Garamond" w:ascii="Garamond" w:hAnsi="Garamond"/>
        </w:rPr>
        <w:t xml:space="preserve">Em 12/01/2018 foi solicitado o envio de imagens atualizadas do imóvel e as fotos foram enviadas a esta coordenadoria em 29/05/2018 para análise. </w:t>
      </w:r>
    </w:p>
    <w:p>
      <w:pPr>
        <w:pStyle w:val="Standard"/>
        <w:numPr>
          <w:ilvl w:val="0"/>
          <w:numId w:val="0"/>
        </w:numPr>
        <w:spacing w:lineRule="auto" w:line="276"/>
        <w:ind w:left="0" w:hanging="0"/>
        <w:jc w:val="both"/>
        <w:rPr>
          <w:rFonts w:ascii="Garamond" w:hAnsi="Garamond" w:cs="Garamond"/>
          <w:b/>
          <w:b/>
          <w:bCs/>
        </w:rPr>
      </w:pPr>
      <w:r>
        <w:rPr>
          <w:rFonts w:cs="Garamond" w:ascii="Garamond" w:hAnsi="Garamond"/>
          <w:b/>
          <w:bCs/>
        </w:rPr>
      </w:r>
    </w:p>
    <w:p>
      <w:pPr>
        <w:pStyle w:val="Standard"/>
        <w:numPr>
          <w:ilvl w:val="0"/>
          <w:numId w:val="1"/>
        </w:numPr>
        <w:spacing w:lineRule="auto" w:line="276"/>
        <w:ind w:right="68" w:hanging="0"/>
        <w:jc w:val="both"/>
        <w:rPr>
          <w:rFonts w:ascii="Garamond" w:hAnsi="Garamond" w:cs="Garamond"/>
        </w:rPr>
      </w:pPr>
      <w:r>
        <w:rPr>
          <w:rFonts w:cs="Garamond" w:ascii="Garamond" w:hAnsi="Garamond"/>
          <w:b/>
          <w:bCs/>
        </w:rPr>
        <w:t xml:space="preserve">Análise Técnica </w:t>
      </w:r>
    </w:p>
    <w:p>
      <w:pPr>
        <w:pStyle w:val="Standard"/>
        <w:spacing w:lineRule="auto" w:line="276"/>
        <w:ind w:right="68" w:hanging="0"/>
        <w:jc w:val="both"/>
        <w:rPr>
          <w:b/>
          <w:b/>
          <w:bCs/>
        </w:rPr>
      </w:pPr>
      <w:r>
        <w:rPr>
          <w:b/>
          <w:bCs/>
        </w:rPr>
      </w:r>
    </w:p>
    <w:p>
      <w:pPr>
        <w:pStyle w:val="Standard"/>
        <w:spacing w:lineRule="auto" w:line="276"/>
        <w:ind w:right="68" w:hanging="0"/>
        <w:jc w:val="both"/>
        <w:rPr>
          <w:rFonts w:ascii="Garamond" w:hAnsi="Garamond" w:cs="Garamond"/>
        </w:rPr>
      </w:pPr>
      <w:r>
        <w:rPr>
          <w:rFonts w:cs="Garamond" w:ascii="Garamond" w:hAnsi="Garamond"/>
          <w:b/>
          <w:bCs/>
        </w:rPr>
        <w:tab/>
      </w:r>
      <w:r>
        <w:rPr>
          <w:rFonts w:cs="Garamond" w:ascii="Garamond" w:hAnsi="Garamond"/>
          <w:b w:val="false"/>
          <w:bCs w:val="false"/>
        </w:rPr>
        <w:t>A edificação situa-se na rua São Sebastião nº 2 / 6, conhecido como Casarão Cônego Felício. O conjunto da Praça Cônego Felício, onde se insere o casarão, foi inventariado pelo município em 2003. Consta na ficha de inventário:</w:t>
      </w:r>
    </w:p>
    <w:p>
      <w:pPr>
        <w:pStyle w:val="Standard"/>
        <w:spacing w:lineRule="auto" w:line="276"/>
        <w:ind w:right="68" w:hanging="0"/>
        <w:jc w:val="both"/>
        <w:rPr>
          <w:b w:val="false"/>
          <w:b w:val="false"/>
          <w:bCs w:val="false"/>
        </w:rPr>
      </w:pPr>
      <w:r>
        <w:rPr>
          <w:b w:val="false"/>
          <w:bCs w:val="false"/>
        </w:rPr>
      </w:r>
    </w:p>
    <w:p>
      <w:pPr>
        <w:pStyle w:val="Normal"/>
        <w:tabs>
          <w:tab w:val="left" w:pos="1913" w:leader="none"/>
          <w:tab w:val="left" w:pos="9142" w:leader="none"/>
        </w:tabs>
        <w:spacing w:lineRule="auto" w:line="276" w:before="60" w:after="0"/>
        <w:ind w:left="1701" w:right="0" w:hanging="0"/>
        <w:jc w:val="both"/>
        <w:rPr>
          <w:rFonts w:ascii="Garamond" w:hAnsi="Garamond" w:cs="Garamond"/>
        </w:rPr>
      </w:pPr>
      <w:r>
        <w:rPr>
          <w:rFonts w:cs="Garamond" w:ascii="Garamond" w:hAnsi="Garamond"/>
          <w:b w:val="false"/>
          <w:bCs w:val="false"/>
        </w:rPr>
        <w:t>Casarão de nº 6, em estilo colonial, é o que mais se destaca no conjunto arquitetônico do entorno, pela sua implantação, que conforma um jardim lateral, pelas suas dimensões, pois se desenvolve em dois pavimentos, e pela diversidade de elementos decorativos. Na fachada frontal abrem-se oito janelas, quatro no térreo e quatro no segundo pavimento, com composição formal semelhante. Apresentam moldura de madeira com verga reta sobre a qual há pequena cimalha. As janelas superiores são vedadas com guilhotina de vidro e as inferiores com bandeira e duas folhas de madeira. O barrote realça a divisão entre os dois pavimentos. O beiral desenvolve-se com cimalha, com decoração em relevo. Na lateral direita da casa há uma varanda com guarda-corpo em madeira decorado, que se abre para o segundo pavimento e para o jardim ao lado da casa. A fachada é pintada em tons de azul e branco.</w:t>
      </w:r>
    </w:p>
    <w:p>
      <w:pPr>
        <w:pStyle w:val="Standard"/>
        <w:spacing w:lineRule="auto" w:line="276"/>
        <w:ind w:right="68" w:hanging="0"/>
        <w:jc w:val="both"/>
        <w:rPr>
          <w:b w:val="false"/>
          <w:b w:val="false"/>
          <w:bCs w:val="false"/>
        </w:rPr>
      </w:pPr>
      <w:r>
        <w:rPr>
          <w:b w:val="false"/>
          <w:bCs w:val="false"/>
        </w:rPr>
      </w:r>
    </w:p>
    <w:p>
      <w:pPr>
        <w:pStyle w:val="Standard"/>
        <w:spacing w:lineRule="auto" w:line="276"/>
        <w:ind w:right="68" w:hanging="0"/>
        <w:jc w:val="both"/>
        <w:rPr/>
      </w:pPr>
      <w:r>
        <w:rPr>
          <w:rFonts w:cs="Garamond" w:ascii="Garamond" w:hAnsi="Garamond"/>
          <w:b w:val="false"/>
          <w:bCs w:val="false"/>
        </w:rPr>
        <w:tab/>
        <w:t>A edificação possui tombamento municipal através do Decreto nº 2023/2012</w:t>
      </w:r>
      <w:r>
        <w:rPr>
          <w:rStyle w:val="Ncoradanotaderodap"/>
          <w:rStyle w:val="Ncoradanotaderodap"/>
          <w:rFonts w:cs="Garamond" w:ascii="Garamond" w:hAnsi="Garamond"/>
          <w:b w:val="false"/>
          <w:bCs w:val="false"/>
        </w:rPr>
        <w:footnoteReference w:id="3"/>
      </w:r>
      <w:r>
        <w:rPr>
          <w:rFonts w:cs="Garamond" w:ascii="Garamond" w:hAnsi="Garamond"/>
          <w:b w:val="false"/>
          <w:bCs w:val="false"/>
        </w:rPr>
        <w:t xml:space="preserve"> por seus valores históricos, culturais e arquitetônicos. </w:t>
      </w:r>
    </w:p>
    <w:p>
      <w:pPr>
        <w:pStyle w:val="Standard"/>
        <w:spacing w:lineRule="auto" w:line="276"/>
        <w:ind w:right="68" w:hanging="0"/>
        <w:jc w:val="both"/>
        <w:rPr>
          <w:rFonts w:ascii="Garamond" w:hAnsi="Garamond" w:cs="Garamond"/>
          <w:b w:val="false"/>
          <w:b w:val="false"/>
          <w:bCs w:val="false"/>
        </w:rPr>
      </w:pPr>
      <w:r>
        <w:rPr/>
      </w:r>
    </w:p>
    <w:p>
      <w:pPr>
        <w:pStyle w:val="Standard"/>
        <w:spacing w:lineRule="auto" w:line="276"/>
        <w:ind w:right="68" w:firstLine="708"/>
        <w:jc w:val="both"/>
        <w:rPr/>
      </w:pPr>
      <w:r>
        <w:rPr>
          <w:rFonts w:cs="Garamond" w:ascii="Garamond" w:hAnsi="Garamond"/>
        </w:rPr>
        <w:t>Em 05 de agosto de 2016, foi realizada vistoria no imóvel pela engenheira civil da Prefeitura Municipal, Vanilda Carneiro Tavares, CREA DF 11.504/D. A partir da vistoria, foi elaborado laudo técnico</w:t>
      </w:r>
      <w:r>
        <w:rPr>
          <w:rStyle w:val="Ncoradanotaderodap"/>
          <w:rStyle w:val="Ncoradanotaderodap"/>
          <w:rFonts w:cs="Garamond" w:ascii="Garamond" w:hAnsi="Garamond"/>
        </w:rPr>
        <w:footnoteReference w:id="4"/>
      </w:r>
      <w:r>
        <w:rPr>
          <w:rFonts w:cs="Garamond" w:ascii="Garamond" w:hAnsi="Garamond"/>
        </w:rPr>
        <w:t xml:space="preserve"> informando acerca do seu estado de conservação</w:t>
      </w:r>
      <w:r>
        <w:rPr>
          <w:rFonts w:cs="Garamond" w:ascii="Garamond" w:hAnsi="Garamond"/>
        </w:rPr>
        <w:t xml:space="preserve">, que foi considerado </w:t>
      </w:r>
      <w:r>
        <w:rPr>
          <w:rFonts w:cs="Garamond" w:ascii="Garamond" w:hAnsi="Garamond"/>
        </w:rPr>
        <w:t>CRÍTICO</w:t>
      </w:r>
      <w:r>
        <w:rPr>
          <w:rFonts w:cs="Garamond" w:ascii="Garamond" w:hAnsi="Garamond"/>
        </w:rPr>
        <w:t xml:space="preserve">. Segundo a </w:t>
      </w:r>
      <w:r>
        <w:rPr>
          <w:rFonts w:cs="Garamond" w:ascii="Garamond" w:hAnsi="Garamond"/>
        </w:rPr>
        <w:t>Norma de Inspeção Predial do IBAPE</w:t>
      </w:r>
      <w:r>
        <w:rPr>
          <w:rFonts w:cs="Garamond" w:ascii="Garamond" w:hAnsi="Garamond"/>
        </w:rPr>
        <w:t xml:space="preserve">, o estado crítico </w:t>
      </w:r>
      <w:r>
        <w:rPr>
          <w:rFonts w:cs="Garamond" w:ascii="Garamond" w:hAnsi="Garamond"/>
        </w:rPr>
        <w:t xml:space="preserve"> </w:t>
      </w:r>
      <w:r>
        <w:rPr>
          <w:rFonts w:cs="Garamond" w:ascii="Garamond" w:hAnsi="Garamond"/>
        </w:rPr>
        <w:t xml:space="preserve"> é </w:t>
      </w:r>
      <w:r>
        <w:rPr>
          <w:rFonts w:cs="Garamond" w:ascii="Garamond" w:hAnsi="Garamond"/>
        </w:rPr>
        <w:t xml:space="preserve">“aquele que provoca danos contra a saúde e segurança das pessoas e meio ambiente, com perda excessiva de desempenho e funcionalidade, causando possíveis paralisações, aumento excessivo de custo, comprometimento sensível de vida útil e desvalorização imobiliária acentuada”. Indica intervenção imediata para sanar as irregularidades apontadas no laudo de inspeção. </w:t>
      </w:r>
    </w:p>
    <w:p>
      <w:pPr>
        <w:pStyle w:val="Standard"/>
        <w:spacing w:lineRule="auto" w:line="276"/>
        <w:ind w:right="68" w:hanging="0"/>
        <w:jc w:val="both"/>
        <w:rPr>
          <w:rFonts w:ascii="Garamond" w:hAnsi="Garamond" w:cs="Garamond"/>
          <w:b w:val="false"/>
          <w:b w:val="false"/>
          <w:bCs w:val="false"/>
        </w:rPr>
      </w:pPr>
      <w:r>
        <w:rPr>
          <w:rFonts w:cs="Garamond" w:ascii="Garamond" w:hAnsi="Garamond"/>
          <w:b/>
          <w:bCs/>
        </w:rPr>
      </w:r>
    </w:p>
    <w:p>
      <w:pPr>
        <w:pStyle w:val="Standard"/>
        <w:spacing w:lineRule="auto" w:line="276"/>
        <w:ind w:right="68" w:hanging="0"/>
        <w:jc w:val="both"/>
        <w:rPr/>
      </w:pPr>
      <w:r>
        <w:rPr>
          <w:rFonts w:cs="Garamond" w:ascii="Garamond" w:hAnsi="Garamond"/>
          <w:b w:val="false"/>
          <w:bCs w:val="false"/>
        </w:rPr>
        <w:tab/>
      </w:r>
      <w:r>
        <w:rPr>
          <w:rFonts w:cs="Garamond" w:ascii="Garamond" w:hAnsi="Garamond"/>
          <w:b w:val="false"/>
          <w:bCs w:val="false"/>
        </w:rPr>
        <w:t>Em análise das imagens encaminhadas a este Setor Técnico em maio do corrente ano, podemos constatar que o imóvel encontra-se sem uso, apresentando as seguintes patologias:</w:t>
      </w:r>
    </w:p>
    <w:p>
      <w:pPr>
        <w:pStyle w:val="Standard"/>
        <w:spacing w:lineRule="auto" w:line="276"/>
        <w:ind w:right="68" w:hanging="0"/>
        <w:jc w:val="both"/>
        <w:rPr>
          <w:rFonts w:ascii="Garamond" w:hAnsi="Garamond" w:cs="Garamond"/>
          <w:b w:val="false"/>
          <w:b w:val="false"/>
          <w:bCs w:val="false"/>
        </w:rPr>
      </w:pPr>
      <w:r>
        <w:rPr/>
      </w:r>
    </w:p>
    <w:p>
      <w:pPr>
        <w:pStyle w:val="Standard"/>
        <w:numPr>
          <w:ilvl w:val="0"/>
          <w:numId w:val="2"/>
        </w:numPr>
        <w:spacing w:lineRule="auto" w:line="276"/>
        <w:jc w:val="both"/>
        <w:rPr/>
      </w:pPr>
      <w:r>
        <w:rPr>
          <w:rFonts w:cs="Garamond" w:ascii="Garamond" w:hAnsi="Garamond"/>
          <w:b w:val="false"/>
          <w:bCs w:val="false"/>
        </w:rPr>
        <w:t>Trechos comprometidos na estrutura em gaiola de madeira, especialmente nos pés de esteio.</w:t>
      </w:r>
    </w:p>
    <w:p>
      <w:pPr>
        <w:pStyle w:val="Standard"/>
        <w:numPr>
          <w:ilvl w:val="0"/>
          <w:numId w:val="0"/>
        </w:numPr>
        <w:spacing w:lineRule="auto" w:line="276"/>
        <w:ind w:left="720" w:hanging="0"/>
        <w:jc w:val="both"/>
        <w:rPr>
          <w:rFonts w:ascii="Garamond" w:hAnsi="Garamond" w:cs="Garamond"/>
          <w:b w:val="false"/>
          <w:b w:val="false"/>
          <w:bCs w:val="false"/>
        </w:rPr>
      </w:pPr>
      <w:r>
        <w:rPr/>
      </w:r>
    </w:p>
    <w:p>
      <w:pPr>
        <w:pStyle w:val="Standard"/>
        <w:numPr>
          <w:ilvl w:val="0"/>
          <w:numId w:val="2"/>
        </w:numPr>
        <w:spacing w:lineRule="auto" w:line="276"/>
        <w:jc w:val="both"/>
        <w:rPr/>
      </w:pPr>
      <w:r>
        <w:rPr>
          <w:rFonts w:cs="Garamond" w:ascii="Garamond" w:hAnsi="Garamond"/>
          <w:b w:val="false"/>
          <w:bCs w:val="false"/>
        </w:rPr>
        <w:t>Comprometimento da cobertura, com telhas deslocadas, quebradas ou faltantes.</w:t>
      </w:r>
    </w:p>
    <w:p>
      <w:pPr>
        <w:pStyle w:val="Standard"/>
        <w:numPr>
          <w:ilvl w:val="0"/>
          <w:numId w:val="0"/>
        </w:numPr>
        <w:spacing w:lineRule="auto" w:line="276"/>
        <w:ind w:left="720" w:hanging="0"/>
        <w:jc w:val="both"/>
        <w:rPr>
          <w:rFonts w:ascii="Garamond" w:hAnsi="Garamond" w:cs="Garamond"/>
          <w:b w:val="false"/>
          <w:b w:val="false"/>
          <w:bCs w:val="false"/>
        </w:rPr>
      </w:pPr>
      <w:r>
        <w:rPr/>
      </w:r>
    </w:p>
    <w:p>
      <w:pPr>
        <w:pStyle w:val="Standard"/>
        <w:numPr>
          <w:ilvl w:val="0"/>
          <w:numId w:val="2"/>
        </w:numPr>
        <w:spacing w:lineRule="auto" w:line="276"/>
        <w:jc w:val="both"/>
        <w:rPr/>
      </w:pPr>
      <w:r>
        <w:rPr>
          <w:rFonts w:cs="Garamond" w:ascii="Garamond" w:hAnsi="Garamond"/>
          <w:b w:val="false"/>
          <w:bCs w:val="false"/>
        </w:rPr>
        <w:t xml:space="preserve">Os danos na cobertura favoreceu a entrada de animais no local, como morcegos e coruja e a presença dos mesmos pode causar novos danos ao bem cultural. </w:t>
      </w:r>
    </w:p>
    <w:p>
      <w:pPr>
        <w:pStyle w:val="Standard"/>
        <w:numPr>
          <w:ilvl w:val="0"/>
          <w:numId w:val="0"/>
        </w:numPr>
        <w:spacing w:lineRule="auto" w:line="276"/>
        <w:ind w:left="720" w:hanging="0"/>
        <w:jc w:val="both"/>
        <w:rPr>
          <w:rFonts w:ascii="Garamond" w:hAnsi="Garamond" w:cs="Garamond"/>
          <w:b w:val="false"/>
          <w:b w:val="false"/>
          <w:bCs w:val="false"/>
        </w:rPr>
      </w:pPr>
      <w:r>
        <w:rPr/>
      </w:r>
    </w:p>
    <w:p>
      <w:pPr>
        <w:pStyle w:val="Standard"/>
        <w:numPr>
          <w:ilvl w:val="0"/>
          <w:numId w:val="2"/>
        </w:numPr>
        <w:spacing w:lineRule="auto" w:line="276"/>
        <w:jc w:val="both"/>
        <w:rPr/>
      </w:pPr>
      <w:r>
        <w:rPr>
          <w:rFonts w:cs="Garamond" w:ascii="Garamond" w:hAnsi="Garamond"/>
          <w:b w:val="false"/>
          <w:bCs w:val="false"/>
        </w:rPr>
        <w:t xml:space="preserve">Fissuras, trincas e manchas de umidade nas alvenarias. Há trechos com desprendimento de reboco. Houve arruinamento parcial de um trecho sob um dos vãos. </w:t>
      </w:r>
    </w:p>
    <w:p>
      <w:pPr>
        <w:pStyle w:val="Standard"/>
        <w:numPr>
          <w:ilvl w:val="0"/>
          <w:numId w:val="0"/>
        </w:numPr>
        <w:spacing w:lineRule="auto" w:line="276"/>
        <w:ind w:left="720" w:hanging="0"/>
        <w:jc w:val="both"/>
        <w:rPr>
          <w:rFonts w:ascii="Garamond" w:hAnsi="Garamond" w:cs="Garamond"/>
          <w:b w:val="false"/>
          <w:b w:val="false"/>
          <w:bCs w:val="false"/>
        </w:rPr>
      </w:pPr>
      <w:r>
        <w:rPr/>
      </w:r>
    </w:p>
    <w:p>
      <w:pPr>
        <w:pStyle w:val="Standard"/>
        <w:numPr>
          <w:ilvl w:val="0"/>
          <w:numId w:val="2"/>
        </w:numPr>
        <w:spacing w:lineRule="auto" w:line="276"/>
        <w:jc w:val="both"/>
        <w:rPr/>
      </w:pPr>
      <w:r>
        <w:rPr>
          <w:rFonts w:cs="Garamond" w:ascii="Garamond" w:hAnsi="Garamond"/>
          <w:b w:val="false"/>
          <w:bCs w:val="false"/>
        </w:rPr>
        <w:t xml:space="preserve">Comprometimento dos forros em esteira e estuque. </w:t>
      </w:r>
    </w:p>
    <w:p>
      <w:pPr>
        <w:pStyle w:val="Standard"/>
        <w:numPr>
          <w:ilvl w:val="0"/>
          <w:numId w:val="0"/>
        </w:numPr>
        <w:spacing w:lineRule="auto" w:line="276"/>
        <w:ind w:left="720" w:hanging="0"/>
        <w:jc w:val="both"/>
        <w:rPr>
          <w:rFonts w:ascii="Garamond" w:hAnsi="Garamond" w:cs="Garamond"/>
          <w:b w:val="false"/>
          <w:b w:val="false"/>
          <w:bCs w:val="false"/>
        </w:rPr>
      </w:pPr>
      <w:r>
        <w:rPr/>
      </w:r>
    </w:p>
    <w:p>
      <w:pPr>
        <w:pStyle w:val="Standard"/>
        <w:numPr>
          <w:ilvl w:val="0"/>
          <w:numId w:val="2"/>
        </w:numPr>
        <w:spacing w:lineRule="auto" w:line="276"/>
        <w:jc w:val="both"/>
        <w:rPr/>
      </w:pPr>
      <w:r>
        <w:rPr>
          <w:rFonts w:cs="Garamond" w:ascii="Garamond" w:hAnsi="Garamond"/>
          <w:b w:val="false"/>
          <w:bCs w:val="false"/>
        </w:rPr>
        <w:t xml:space="preserve">Muita sujeira sobre os revestimentos de piso (ladrilho hidráulico, cimentado e tabuado). O piso tabuado de madeira do segundo pavimento apresenta-se desgastado e com trechos danificados. Há desnível no piso da varanda. </w:t>
      </w:r>
    </w:p>
    <w:p>
      <w:pPr>
        <w:pStyle w:val="Standard"/>
        <w:numPr>
          <w:ilvl w:val="0"/>
          <w:numId w:val="2"/>
        </w:numPr>
        <w:spacing w:lineRule="auto" w:line="276"/>
        <w:jc w:val="both"/>
        <w:rPr/>
      </w:pPr>
      <w:r>
        <w:rPr>
          <w:rFonts w:cs="Garamond" w:ascii="Garamond" w:hAnsi="Garamond"/>
          <w:b w:val="false"/>
          <w:bCs w:val="false"/>
        </w:rPr>
        <w:t xml:space="preserve">As escadas de madeira estão desgastadas e apresentam degraus faltantes. </w:t>
      </w:r>
    </w:p>
    <w:p>
      <w:pPr>
        <w:pStyle w:val="Standard"/>
        <w:numPr>
          <w:ilvl w:val="0"/>
          <w:numId w:val="0"/>
        </w:numPr>
        <w:spacing w:lineRule="auto" w:line="276"/>
        <w:ind w:left="720" w:hanging="0"/>
        <w:jc w:val="both"/>
        <w:rPr>
          <w:rFonts w:ascii="Garamond" w:hAnsi="Garamond" w:cs="Garamond"/>
          <w:b w:val="false"/>
          <w:b w:val="false"/>
          <w:bCs w:val="false"/>
        </w:rPr>
      </w:pPr>
      <w:r>
        <w:rPr/>
      </w:r>
    </w:p>
    <w:p>
      <w:pPr>
        <w:pStyle w:val="Standard"/>
        <w:numPr>
          <w:ilvl w:val="0"/>
          <w:numId w:val="2"/>
        </w:numPr>
        <w:spacing w:lineRule="auto" w:line="276"/>
        <w:jc w:val="both"/>
        <w:rPr/>
      </w:pPr>
      <w:r>
        <w:rPr>
          <w:rFonts w:cs="Garamond" w:ascii="Garamond" w:hAnsi="Garamond"/>
          <w:b w:val="false"/>
          <w:bCs w:val="false"/>
        </w:rPr>
        <w:t xml:space="preserve">As esquadrias apresentam ressecamento, peças faltantes, lacunas, vidros quebrados e desgaste da pintura. </w:t>
      </w:r>
    </w:p>
    <w:p>
      <w:pPr>
        <w:pStyle w:val="Standard"/>
        <w:numPr>
          <w:ilvl w:val="0"/>
          <w:numId w:val="0"/>
        </w:numPr>
        <w:spacing w:lineRule="auto" w:line="276"/>
        <w:ind w:left="720" w:hanging="0"/>
        <w:jc w:val="both"/>
        <w:rPr>
          <w:rFonts w:ascii="Garamond" w:hAnsi="Garamond" w:cs="Garamond"/>
          <w:b w:val="false"/>
          <w:b w:val="false"/>
          <w:bCs w:val="false"/>
        </w:rPr>
      </w:pPr>
      <w:r>
        <w:rPr/>
      </w:r>
    </w:p>
    <w:p>
      <w:pPr>
        <w:pStyle w:val="Standard"/>
        <w:numPr>
          <w:ilvl w:val="0"/>
          <w:numId w:val="2"/>
        </w:numPr>
        <w:spacing w:lineRule="auto" w:line="276"/>
        <w:jc w:val="both"/>
        <w:rPr/>
      </w:pPr>
      <w:r>
        <w:rPr>
          <w:rFonts w:cs="Garamond" w:ascii="Garamond" w:hAnsi="Garamond"/>
          <w:b w:val="false"/>
          <w:bCs w:val="false"/>
        </w:rPr>
        <w:t xml:space="preserve">Instalações elétricas precárias. </w:t>
      </w:r>
    </w:p>
    <w:p>
      <w:pPr>
        <w:pStyle w:val="Standard"/>
        <w:numPr>
          <w:ilvl w:val="0"/>
          <w:numId w:val="0"/>
        </w:numPr>
        <w:spacing w:lineRule="auto" w:line="276"/>
        <w:ind w:left="720" w:hanging="0"/>
        <w:jc w:val="both"/>
        <w:rPr>
          <w:rFonts w:ascii="Garamond" w:hAnsi="Garamond" w:cs="Garamond"/>
          <w:b w:val="false"/>
          <w:b w:val="false"/>
          <w:bCs w:val="false"/>
        </w:rPr>
      </w:pPr>
      <w:r>
        <w:rPr/>
      </w:r>
    </w:p>
    <w:p>
      <w:pPr>
        <w:pStyle w:val="Standard"/>
        <w:numPr>
          <w:ilvl w:val="0"/>
          <w:numId w:val="2"/>
        </w:numPr>
        <w:spacing w:lineRule="auto" w:line="276"/>
        <w:jc w:val="both"/>
        <w:rPr/>
      </w:pPr>
      <w:r>
        <w:rPr>
          <w:rFonts w:cs="Garamond" w:ascii="Garamond" w:hAnsi="Garamond"/>
          <w:b w:val="false"/>
          <w:bCs w:val="false"/>
        </w:rPr>
        <w:t xml:space="preserve">Vegetação invasiva. </w:t>
      </w:r>
    </w:p>
    <w:p>
      <w:pPr>
        <w:pStyle w:val="Standard"/>
        <w:spacing w:lineRule="auto" w:line="276"/>
        <w:ind w:right="68" w:hanging="0"/>
        <w:jc w:val="both"/>
        <w:rPr>
          <w:rFonts w:ascii="Garamond" w:hAnsi="Garamond" w:cs="Garamond"/>
          <w:b/>
          <w:b/>
          <w:bCs/>
        </w:rPr>
      </w:pPr>
      <w:r>
        <w:rPr/>
      </w:r>
    </w:p>
    <w:tbl>
      <w:tblPr>
        <w:tblStyle w:val="Tabelacomgrade"/>
        <w:tblW w:w="9240" w:type="dxa"/>
        <w:jc w:val="left"/>
        <w:tblInd w:w="-396" w:type="dxa"/>
        <w:tblCellMar>
          <w:top w:w="0" w:type="dxa"/>
          <w:left w:w="108" w:type="dxa"/>
          <w:bottom w:w="0" w:type="dxa"/>
          <w:right w:w="108" w:type="dxa"/>
        </w:tblCellMar>
        <w:tblLook w:firstRow="1" w:noVBand="1" w:lastRow="0" w:firstColumn="1" w:lastColumn="0" w:noHBand="0" w:val="04a0"/>
      </w:tblPr>
      <w:tblGrid>
        <w:gridCol w:w="4335"/>
        <w:gridCol w:w="4905"/>
      </w:tblGrid>
      <w:tr>
        <w:trPr/>
        <w:tc>
          <w:tcPr>
            <w:tcW w:w="4335" w:type="dxa"/>
            <w:tcBorders/>
            <w:shd w:fill="auto" w:val="clear"/>
          </w:tcPr>
          <w:p>
            <w:pPr>
              <w:pStyle w:val="Standard"/>
              <w:spacing w:lineRule="auto" w:line="276"/>
              <w:ind w:right="68" w:hanging="0"/>
              <w:jc w:val="center"/>
              <w:rPr/>
            </w:pPr>
            <w:r>
              <w:rPr/>
              <w:drawing>
                <wp:inline distT="0" distB="0" distL="0" distR="0">
                  <wp:extent cx="1795145" cy="2167890"/>
                  <wp:effectExtent l="0" t="0" r="0" b="0"/>
                  <wp:docPr id="1" name="Imagem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27" descr=""/>
                          <pic:cNvPicPr>
                            <a:picLocks noChangeAspect="1" noChangeArrowheads="1"/>
                          </pic:cNvPicPr>
                        </pic:nvPicPr>
                        <pic:blipFill>
                          <a:blip r:embed="rId2"/>
                          <a:srcRect l="0" t="9413" r="0" b="0"/>
                          <a:stretch>
                            <a:fillRect/>
                          </a:stretch>
                        </pic:blipFill>
                        <pic:spPr bwMode="auto">
                          <a:xfrm>
                            <a:off x="0" y="0"/>
                            <a:ext cx="1795145" cy="2167890"/>
                          </a:xfrm>
                          <a:prstGeom prst="rect">
                            <a:avLst/>
                          </a:prstGeom>
                        </pic:spPr>
                      </pic:pic>
                    </a:graphicData>
                  </a:graphic>
                </wp:inline>
              </w:drawing>
            </w:r>
          </w:p>
        </w:tc>
        <w:tc>
          <w:tcPr>
            <w:tcW w:w="4905" w:type="dxa"/>
            <w:tcBorders/>
            <w:shd w:fill="auto" w:val="clear"/>
          </w:tcPr>
          <w:p>
            <w:pPr>
              <w:pStyle w:val="Standard"/>
              <w:spacing w:lineRule="auto" w:line="276"/>
              <w:ind w:right="68" w:hanging="0"/>
              <w:jc w:val="center"/>
              <w:rPr/>
            </w:pPr>
            <w:r>
              <w:rPr/>
              <w:drawing>
                <wp:inline distT="0" distB="0" distL="0" distR="0">
                  <wp:extent cx="2827655" cy="2120900"/>
                  <wp:effectExtent l="0" t="0" r="0" b="0"/>
                  <wp:docPr id="2" name="Imagem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33" descr=""/>
                          <pic:cNvPicPr>
                            <a:picLocks noChangeAspect="1" noChangeArrowheads="1"/>
                          </pic:cNvPicPr>
                        </pic:nvPicPr>
                        <pic:blipFill>
                          <a:blip r:embed="rId3"/>
                          <a:stretch>
                            <a:fillRect/>
                          </a:stretch>
                        </pic:blipFill>
                        <pic:spPr bwMode="auto">
                          <a:xfrm>
                            <a:off x="0" y="0"/>
                            <a:ext cx="2827655" cy="2120900"/>
                          </a:xfrm>
                          <a:prstGeom prst="rect">
                            <a:avLst/>
                          </a:prstGeom>
                        </pic:spPr>
                      </pic:pic>
                    </a:graphicData>
                  </a:graphic>
                </wp:inline>
              </w:drawing>
            </w:r>
          </w:p>
        </w:tc>
      </w:tr>
      <w:tr>
        <w:trPr/>
        <w:tc>
          <w:tcPr>
            <w:tcW w:w="4335" w:type="dxa"/>
            <w:tcBorders/>
            <w:shd w:fill="auto" w:val="clear"/>
          </w:tcPr>
          <w:p>
            <w:pPr>
              <w:pStyle w:val="Standard"/>
              <w:spacing w:lineRule="auto" w:line="276"/>
              <w:ind w:right="68" w:hanging="0"/>
              <w:rPr>
                <w:sz w:val="22"/>
                <w:szCs w:val="22"/>
              </w:rPr>
            </w:pPr>
            <w:r>
              <w:rPr>
                <w:rFonts w:cs="Garamond" w:ascii="Garamond" w:hAnsi="Garamond"/>
                <w:sz w:val="22"/>
                <w:szCs w:val="22"/>
              </w:rPr>
              <w:t xml:space="preserve">Imagem </w:t>
            </w:r>
            <w:r>
              <w:rPr>
                <w:rFonts w:cs="Garamond" w:ascii="Garamond" w:hAnsi="Garamond"/>
                <w:sz w:val="22"/>
                <w:szCs w:val="22"/>
              </w:rPr>
              <w:t>01</w:t>
            </w:r>
            <w:r>
              <w:rPr>
                <w:rFonts w:cs="Garamond" w:ascii="Garamond" w:hAnsi="Garamond"/>
                <w:sz w:val="22"/>
                <w:szCs w:val="22"/>
              </w:rPr>
              <w:t xml:space="preserve"> – Vista da fachada lateral </w:t>
            </w:r>
            <w:r>
              <w:rPr>
                <w:rFonts w:cs="Garamond" w:ascii="Garamond" w:hAnsi="Garamond"/>
                <w:sz w:val="22"/>
                <w:szCs w:val="22"/>
              </w:rPr>
              <w:t>direita.</w:t>
            </w:r>
          </w:p>
        </w:tc>
        <w:tc>
          <w:tcPr>
            <w:tcW w:w="4905" w:type="dxa"/>
            <w:tcBorders/>
            <w:shd w:fill="auto" w:val="clear"/>
          </w:tcPr>
          <w:p>
            <w:pPr>
              <w:pStyle w:val="Standard"/>
              <w:spacing w:lineRule="auto" w:line="276"/>
              <w:ind w:right="68" w:hanging="0"/>
              <w:rPr>
                <w:sz w:val="22"/>
                <w:szCs w:val="22"/>
              </w:rPr>
            </w:pPr>
            <w:r>
              <w:rPr>
                <w:rFonts w:cs="Garamond" w:ascii="Garamond" w:hAnsi="Garamond"/>
                <w:sz w:val="22"/>
                <w:szCs w:val="22"/>
              </w:rPr>
              <w:t xml:space="preserve">Imagem </w:t>
            </w:r>
            <w:r>
              <w:rPr>
                <w:rFonts w:cs="Garamond" w:ascii="Garamond" w:hAnsi="Garamond"/>
                <w:sz w:val="22"/>
                <w:szCs w:val="22"/>
              </w:rPr>
              <w:t xml:space="preserve">02 </w:t>
            </w:r>
            <w:r>
              <w:rPr>
                <w:rFonts w:cs="Garamond" w:ascii="Garamond" w:hAnsi="Garamond"/>
                <w:sz w:val="22"/>
                <w:szCs w:val="22"/>
              </w:rPr>
              <w:t xml:space="preserve">– </w:t>
            </w:r>
            <w:r>
              <w:rPr>
                <w:rFonts w:cs="Garamond" w:ascii="Garamond" w:hAnsi="Garamond"/>
                <w:sz w:val="22"/>
                <w:szCs w:val="22"/>
              </w:rPr>
              <w:t>F</w:t>
            </w:r>
            <w:r>
              <w:rPr>
                <w:rFonts w:cs="Garamond" w:ascii="Garamond" w:hAnsi="Garamond"/>
                <w:sz w:val="22"/>
                <w:szCs w:val="22"/>
              </w:rPr>
              <w:t>achada frontal</w:t>
            </w:r>
            <w:r>
              <w:rPr>
                <w:rFonts w:cs="Garamond" w:ascii="Garamond" w:hAnsi="Garamond"/>
                <w:sz w:val="22"/>
                <w:szCs w:val="22"/>
              </w:rPr>
              <w:t xml:space="preserve">, onde se observam as patologias nas alvenarias e esquadrias. </w:t>
            </w:r>
          </w:p>
        </w:tc>
      </w:tr>
      <w:tr>
        <w:trPr/>
        <w:tc>
          <w:tcPr>
            <w:tcW w:w="4335" w:type="dxa"/>
            <w:tcBorders/>
            <w:shd w:fill="auto" w:val="clear"/>
          </w:tcPr>
          <w:p>
            <w:pPr>
              <w:pStyle w:val="Standard"/>
              <w:spacing w:lineRule="auto" w:line="276"/>
              <w:ind w:right="68" w:hanging="0"/>
              <w:jc w:val="center"/>
              <w:rPr/>
            </w:pPr>
            <w:r>
              <w:rPr>
                <w:rFonts w:cs="Garamond" w:ascii="Garamond" w:hAnsi="Garamond"/>
              </w:rPr>
              <w:drawing>
                <wp:inline distT="0" distB="0" distL="0" distR="0">
                  <wp:extent cx="2612390" cy="1958975"/>
                  <wp:effectExtent l="0" t="0" r="0" b="0"/>
                  <wp:docPr id="3" name="Imagem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7" descr=""/>
                          <pic:cNvPicPr>
                            <a:picLocks noChangeAspect="1" noChangeArrowheads="1"/>
                          </pic:cNvPicPr>
                        </pic:nvPicPr>
                        <pic:blipFill>
                          <a:blip r:embed="rId4"/>
                          <a:stretch>
                            <a:fillRect/>
                          </a:stretch>
                        </pic:blipFill>
                        <pic:spPr bwMode="auto">
                          <a:xfrm>
                            <a:off x="0" y="0"/>
                            <a:ext cx="2612390" cy="1958975"/>
                          </a:xfrm>
                          <a:prstGeom prst="rect">
                            <a:avLst/>
                          </a:prstGeom>
                        </pic:spPr>
                      </pic:pic>
                    </a:graphicData>
                  </a:graphic>
                </wp:inline>
              </w:drawing>
            </w:r>
          </w:p>
        </w:tc>
        <w:tc>
          <w:tcPr>
            <w:tcW w:w="4905" w:type="dxa"/>
            <w:tcBorders/>
            <w:shd w:fill="auto" w:val="clear"/>
          </w:tcPr>
          <w:p>
            <w:pPr>
              <w:pStyle w:val="Standard"/>
              <w:spacing w:lineRule="auto" w:line="276"/>
              <w:ind w:right="68" w:hanging="0"/>
              <w:jc w:val="center"/>
              <w:rPr>
                <w:rFonts w:ascii="Garamond" w:hAnsi="Garamond" w:cs="Garamond"/>
              </w:rPr>
            </w:pPr>
            <w:r>
              <w:rPr/>
              <w:drawing>
                <wp:inline distT="0" distB="0" distL="0" distR="0">
                  <wp:extent cx="2750820" cy="2063115"/>
                  <wp:effectExtent l="0" t="0" r="0" b="0"/>
                  <wp:docPr id="4" name="Imagem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0" descr=""/>
                          <pic:cNvPicPr>
                            <a:picLocks noChangeAspect="1" noChangeArrowheads="1"/>
                          </pic:cNvPicPr>
                        </pic:nvPicPr>
                        <pic:blipFill>
                          <a:blip r:embed="rId5"/>
                          <a:stretch>
                            <a:fillRect/>
                          </a:stretch>
                        </pic:blipFill>
                        <pic:spPr bwMode="auto">
                          <a:xfrm>
                            <a:off x="0" y="0"/>
                            <a:ext cx="2750820" cy="2063115"/>
                          </a:xfrm>
                          <a:prstGeom prst="rect">
                            <a:avLst/>
                          </a:prstGeom>
                        </pic:spPr>
                      </pic:pic>
                    </a:graphicData>
                  </a:graphic>
                </wp:inline>
              </w:drawing>
            </w:r>
          </w:p>
        </w:tc>
      </w:tr>
      <w:tr>
        <w:trPr/>
        <w:tc>
          <w:tcPr>
            <w:tcW w:w="4335" w:type="dxa"/>
            <w:tcBorders/>
            <w:shd w:fill="auto" w:val="clear"/>
          </w:tcPr>
          <w:p>
            <w:pPr>
              <w:pStyle w:val="Standard"/>
              <w:spacing w:lineRule="auto" w:line="276"/>
              <w:ind w:right="68" w:hanging="0"/>
              <w:jc w:val="both"/>
              <w:rPr>
                <w:sz w:val="22"/>
                <w:szCs w:val="22"/>
              </w:rPr>
            </w:pPr>
            <w:r>
              <w:rPr>
                <w:rFonts w:cs="Garamond" w:ascii="Garamond" w:hAnsi="Garamond"/>
                <w:sz w:val="22"/>
                <w:szCs w:val="22"/>
              </w:rPr>
              <w:t xml:space="preserve">Imagem </w:t>
            </w:r>
            <w:r>
              <w:rPr>
                <w:rFonts w:cs="Garamond" w:ascii="Garamond" w:hAnsi="Garamond"/>
                <w:sz w:val="22"/>
                <w:szCs w:val="22"/>
              </w:rPr>
              <w:t>03</w:t>
            </w:r>
            <w:r>
              <w:rPr>
                <w:rFonts w:cs="Garamond" w:ascii="Garamond" w:hAnsi="Garamond"/>
                <w:sz w:val="22"/>
                <w:szCs w:val="22"/>
              </w:rPr>
              <w:t xml:space="preserve"> – Vista fachada lateral esquerda</w:t>
            </w:r>
            <w:r>
              <w:rPr>
                <w:rFonts w:cs="Garamond" w:ascii="Garamond" w:hAnsi="Garamond"/>
                <w:sz w:val="22"/>
                <w:szCs w:val="22"/>
              </w:rPr>
              <w:t xml:space="preserve">, onde se observam as patologias nas alvenarias e esquadrias. </w:t>
            </w:r>
          </w:p>
        </w:tc>
        <w:tc>
          <w:tcPr>
            <w:tcW w:w="4905" w:type="dxa"/>
            <w:tcBorders/>
            <w:shd w:fill="auto" w:val="clear"/>
          </w:tcPr>
          <w:p>
            <w:pPr>
              <w:pStyle w:val="Standard"/>
              <w:spacing w:lineRule="auto" w:line="276"/>
              <w:ind w:right="68" w:hanging="0"/>
              <w:jc w:val="both"/>
              <w:rPr>
                <w:sz w:val="22"/>
                <w:szCs w:val="22"/>
              </w:rPr>
            </w:pPr>
            <w:r>
              <w:rPr>
                <w:rFonts w:cs="Garamond" w:ascii="Garamond" w:hAnsi="Garamond"/>
                <w:sz w:val="22"/>
                <w:szCs w:val="22"/>
              </w:rPr>
              <w:t xml:space="preserve">Imagem </w:t>
            </w:r>
            <w:r>
              <w:rPr>
                <w:rFonts w:cs="Garamond" w:ascii="Garamond" w:hAnsi="Garamond"/>
                <w:sz w:val="22"/>
                <w:szCs w:val="22"/>
              </w:rPr>
              <w:t>04</w:t>
            </w:r>
            <w:r>
              <w:rPr>
                <w:rFonts w:cs="Garamond" w:ascii="Garamond" w:hAnsi="Garamond"/>
                <w:sz w:val="22"/>
                <w:szCs w:val="22"/>
              </w:rPr>
              <w:t xml:space="preserve"> – Vista fachada posterior</w:t>
            </w:r>
            <w:r>
              <w:rPr>
                <w:rFonts w:cs="Garamond" w:ascii="Garamond" w:hAnsi="Garamond"/>
                <w:sz w:val="22"/>
                <w:szCs w:val="22"/>
              </w:rPr>
              <w:t xml:space="preserve">, onde se observam as patologias nas alvenarias e esquadrias. </w:t>
            </w:r>
          </w:p>
        </w:tc>
      </w:tr>
      <w:tr>
        <w:trPr/>
        <w:tc>
          <w:tcPr>
            <w:tcW w:w="4335" w:type="dxa"/>
            <w:tcBorders/>
            <w:shd w:fill="auto" w:val="clear"/>
          </w:tcPr>
          <w:p>
            <w:pPr>
              <w:pStyle w:val="Standard"/>
              <w:spacing w:lineRule="auto" w:line="276"/>
              <w:ind w:right="68" w:hanging="0"/>
              <w:jc w:val="center"/>
              <w:rPr/>
            </w:pPr>
            <w:r>
              <w:rPr>
                <w:rFonts w:cs="Garamond" w:ascii="Garamond" w:hAnsi="Garamond"/>
              </w:rPr>
              <w:drawing>
                <wp:inline distT="0" distB="0" distL="0" distR="0">
                  <wp:extent cx="2993390" cy="2244725"/>
                  <wp:effectExtent l="0" t="0" r="0" b="0"/>
                  <wp:docPr id="5" name="Imagem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28" descr=""/>
                          <pic:cNvPicPr>
                            <a:picLocks noChangeAspect="1" noChangeArrowheads="1"/>
                          </pic:cNvPicPr>
                        </pic:nvPicPr>
                        <pic:blipFill>
                          <a:blip r:embed="rId6"/>
                          <a:stretch>
                            <a:fillRect/>
                          </a:stretch>
                        </pic:blipFill>
                        <pic:spPr bwMode="auto">
                          <a:xfrm>
                            <a:off x="0" y="0"/>
                            <a:ext cx="2993390" cy="2244725"/>
                          </a:xfrm>
                          <a:prstGeom prst="rect">
                            <a:avLst/>
                          </a:prstGeom>
                        </pic:spPr>
                      </pic:pic>
                    </a:graphicData>
                  </a:graphic>
                </wp:inline>
              </w:drawing>
            </w:r>
          </w:p>
        </w:tc>
        <w:tc>
          <w:tcPr>
            <w:tcW w:w="4905" w:type="dxa"/>
            <w:tcBorders/>
            <w:shd w:fill="auto" w:val="clear"/>
          </w:tcPr>
          <w:p>
            <w:pPr>
              <w:pStyle w:val="Standard"/>
              <w:spacing w:lineRule="auto" w:line="276"/>
              <w:ind w:right="68" w:hanging="0"/>
              <w:jc w:val="center"/>
              <w:rPr/>
            </w:pPr>
            <w:r>
              <w:rPr>
                <w:rFonts w:cs="Garamond" w:ascii="Garamond" w:hAnsi="Garamond"/>
              </w:rPr>
              <w:drawing>
                <wp:inline distT="0" distB="0" distL="0" distR="0">
                  <wp:extent cx="2924810" cy="2095500"/>
                  <wp:effectExtent l="0" t="0" r="0" b="0"/>
                  <wp:docPr id="6" name="Imagem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11" descr=""/>
                          <pic:cNvPicPr>
                            <a:picLocks noChangeAspect="1" noChangeArrowheads="1"/>
                          </pic:cNvPicPr>
                        </pic:nvPicPr>
                        <pic:blipFill>
                          <a:blip r:embed="rId7"/>
                          <a:srcRect l="0" t="8974" r="0" b="6370"/>
                          <a:stretch>
                            <a:fillRect/>
                          </a:stretch>
                        </pic:blipFill>
                        <pic:spPr bwMode="auto">
                          <a:xfrm>
                            <a:off x="0" y="0"/>
                            <a:ext cx="2924810" cy="2095500"/>
                          </a:xfrm>
                          <a:prstGeom prst="rect">
                            <a:avLst/>
                          </a:prstGeom>
                        </pic:spPr>
                      </pic:pic>
                    </a:graphicData>
                  </a:graphic>
                </wp:inline>
              </w:drawing>
            </w:r>
          </w:p>
        </w:tc>
      </w:tr>
      <w:tr>
        <w:trPr/>
        <w:tc>
          <w:tcPr>
            <w:tcW w:w="4335" w:type="dxa"/>
            <w:tcBorders/>
            <w:shd w:fill="auto" w:val="clear"/>
          </w:tcPr>
          <w:p>
            <w:pPr>
              <w:pStyle w:val="Standard"/>
              <w:spacing w:lineRule="auto" w:line="276"/>
              <w:ind w:right="68" w:hanging="0"/>
              <w:rPr>
                <w:sz w:val="22"/>
                <w:szCs w:val="22"/>
              </w:rPr>
            </w:pPr>
            <w:r>
              <w:rPr>
                <w:rFonts w:cs="Garamond" w:ascii="Garamond" w:hAnsi="Garamond"/>
                <w:sz w:val="22"/>
                <w:szCs w:val="22"/>
              </w:rPr>
              <w:t xml:space="preserve">Imagem </w:t>
            </w:r>
            <w:r>
              <w:rPr>
                <w:rFonts w:cs="Garamond" w:ascii="Garamond" w:hAnsi="Garamond"/>
                <w:sz w:val="22"/>
                <w:szCs w:val="22"/>
              </w:rPr>
              <w:t>05</w:t>
            </w:r>
            <w:r>
              <w:rPr>
                <w:rFonts w:cs="Garamond" w:ascii="Garamond" w:hAnsi="Garamond"/>
                <w:sz w:val="22"/>
                <w:szCs w:val="22"/>
              </w:rPr>
              <w:t xml:space="preserve"> – </w:t>
            </w:r>
            <w:r>
              <w:rPr>
                <w:rFonts w:cs="Garamond" w:ascii="Garamond" w:hAnsi="Garamond"/>
                <w:sz w:val="22"/>
                <w:szCs w:val="22"/>
              </w:rPr>
              <w:t>Detalhe da cimalha .</w:t>
            </w:r>
          </w:p>
        </w:tc>
        <w:tc>
          <w:tcPr>
            <w:tcW w:w="4905" w:type="dxa"/>
            <w:tcBorders/>
            <w:shd w:fill="auto" w:val="clear"/>
          </w:tcPr>
          <w:p>
            <w:pPr>
              <w:pStyle w:val="Standard"/>
              <w:spacing w:lineRule="auto" w:line="276"/>
              <w:ind w:right="68" w:hanging="0"/>
              <w:jc w:val="both"/>
              <w:rPr>
                <w:sz w:val="22"/>
                <w:szCs w:val="22"/>
              </w:rPr>
            </w:pPr>
            <w:r>
              <w:rPr>
                <w:rFonts w:cs="Garamond" w:ascii="Garamond" w:hAnsi="Garamond"/>
                <w:sz w:val="22"/>
                <w:szCs w:val="22"/>
              </w:rPr>
              <w:t xml:space="preserve">Imagem </w:t>
            </w:r>
            <w:r>
              <w:rPr>
                <w:rFonts w:cs="Garamond" w:ascii="Garamond" w:hAnsi="Garamond"/>
                <w:sz w:val="22"/>
                <w:szCs w:val="22"/>
              </w:rPr>
              <w:t>06</w:t>
            </w:r>
            <w:r>
              <w:rPr>
                <w:rFonts w:cs="Garamond" w:ascii="Garamond" w:hAnsi="Garamond"/>
                <w:sz w:val="22"/>
                <w:szCs w:val="22"/>
              </w:rPr>
              <w:t xml:space="preserve"> –</w:t>
            </w:r>
            <w:r>
              <w:rPr>
                <w:rFonts w:cs="Garamond" w:ascii="Garamond" w:hAnsi="Garamond"/>
                <w:sz w:val="22"/>
                <w:szCs w:val="22"/>
              </w:rPr>
              <w:t xml:space="preserve"> </w:t>
            </w:r>
            <w:r>
              <w:rPr>
                <w:rFonts w:cs="Garamond" w:ascii="Garamond" w:hAnsi="Garamond"/>
                <w:sz w:val="22"/>
                <w:szCs w:val="22"/>
                <w:lang w:eastAsia="pt-BR"/>
              </w:rPr>
              <w:t>O</w:t>
            </w:r>
            <w:r>
              <w:rPr>
                <w:rFonts w:cs="Garamond" w:ascii="Garamond" w:hAnsi="Garamond"/>
                <w:sz w:val="22"/>
                <w:szCs w:val="22"/>
                <w:lang w:eastAsia="pt-BR"/>
              </w:rPr>
              <w:t>rnamentação interna</w:t>
            </w:r>
            <w:r>
              <w:rPr>
                <w:rFonts w:cs="Garamond" w:ascii="Garamond" w:hAnsi="Garamond"/>
                <w:sz w:val="22"/>
                <w:szCs w:val="22"/>
                <w:lang w:eastAsia="pt-BR"/>
              </w:rPr>
              <w:t>.</w:t>
            </w:r>
          </w:p>
        </w:tc>
      </w:tr>
      <w:tr>
        <w:trPr/>
        <w:tc>
          <w:tcPr>
            <w:tcW w:w="4335" w:type="dxa"/>
            <w:tcBorders/>
            <w:shd w:fill="auto" w:val="clear"/>
          </w:tcPr>
          <w:p>
            <w:pPr>
              <w:pStyle w:val="Standard"/>
              <w:spacing w:lineRule="auto" w:line="276"/>
              <w:ind w:right="68" w:hanging="0"/>
              <w:jc w:val="center"/>
              <w:rPr>
                <w:rFonts w:ascii="Garamond" w:hAnsi="Garamond" w:cs="Garamond"/>
                <w:lang w:eastAsia="pt-BR"/>
              </w:rPr>
            </w:pPr>
            <w:r>
              <w:rPr/>
              <w:drawing>
                <wp:inline distT="0" distB="0" distL="0" distR="0">
                  <wp:extent cx="2179955" cy="2907030"/>
                  <wp:effectExtent l="0" t="0" r="0" b="0"/>
                  <wp:docPr id="7" name="Imagem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5" descr=""/>
                          <pic:cNvPicPr>
                            <a:picLocks noChangeAspect="1" noChangeArrowheads="1"/>
                          </pic:cNvPicPr>
                        </pic:nvPicPr>
                        <pic:blipFill>
                          <a:blip r:embed="rId8"/>
                          <a:stretch>
                            <a:fillRect/>
                          </a:stretch>
                        </pic:blipFill>
                        <pic:spPr bwMode="auto">
                          <a:xfrm>
                            <a:off x="0" y="0"/>
                            <a:ext cx="2179955" cy="2907030"/>
                          </a:xfrm>
                          <a:prstGeom prst="rect">
                            <a:avLst/>
                          </a:prstGeom>
                        </pic:spPr>
                      </pic:pic>
                    </a:graphicData>
                  </a:graphic>
                </wp:inline>
              </w:drawing>
            </w:r>
          </w:p>
        </w:tc>
        <w:tc>
          <w:tcPr>
            <w:tcW w:w="4905" w:type="dxa"/>
            <w:tcBorders/>
            <w:shd w:fill="auto" w:val="clear"/>
          </w:tcPr>
          <w:p>
            <w:pPr>
              <w:pStyle w:val="Standard"/>
              <w:spacing w:lineRule="auto" w:line="276"/>
              <w:ind w:right="68" w:hanging="0"/>
              <w:jc w:val="center"/>
              <w:rPr/>
            </w:pPr>
            <w:r>
              <w:rPr>
                <w:rFonts w:cs="Garamond" w:ascii="Garamond" w:hAnsi="Garamond"/>
                <w:lang w:eastAsia="pt-BR"/>
              </w:rPr>
              <w:drawing>
                <wp:inline distT="0" distB="0" distL="0" distR="0">
                  <wp:extent cx="2165350" cy="2887980"/>
                  <wp:effectExtent l="0" t="0" r="0" b="0"/>
                  <wp:docPr id="8" name="Imagem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39" descr=""/>
                          <pic:cNvPicPr>
                            <a:picLocks noChangeAspect="1" noChangeArrowheads="1"/>
                          </pic:cNvPicPr>
                        </pic:nvPicPr>
                        <pic:blipFill>
                          <a:blip r:embed="rId9"/>
                          <a:stretch>
                            <a:fillRect/>
                          </a:stretch>
                        </pic:blipFill>
                        <pic:spPr bwMode="auto">
                          <a:xfrm>
                            <a:off x="0" y="0"/>
                            <a:ext cx="2165350" cy="2887980"/>
                          </a:xfrm>
                          <a:prstGeom prst="rect">
                            <a:avLst/>
                          </a:prstGeom>
                        </pic:spPr>
                      </pic:pic>
                    </a:graphicData>
                  </a:graphic>
                </wp:inline>
              </w:drawing>
            </w:r>
          </w:p>
        </w:tc>
      </w:tr>
      <w:tr>
        <w:trPr/>
        <w:tc>
          <w:tcPr>
            <w:tcW w:w="4335" w:type="dxa"/>
            <w:tcBorders/>
            <w:shd w:fill="auto" w:val="clear"/>
          </w:tcPr>
          <w:p>
            <w:pPr>
              <w:pStyle w:val="Standard"/>
              <w:spacing w:lineRule="auto" w:line="276"/>
              <w:ind w:right="68" w:hanging="0"/>
              <w:rPr>
                <w:sz w:val="22"/>
                <w:szCs w:val="22"/>
              </w:rPr>
            </w:pPr>
            <w:r>
              <w:rPr>
                <w:rFonts w:cs="Garamond" w:ascii="Garamond" w:hAnsi="Garamond"/>
                <w:sz w:val="22"/>
                <w:szCs w:val="22"/>
                <w:lang w:eastAsia="pt-BR"/>
              </w:rPr>
              <w:t xml:space="preserve">Imagem </w:t>
            </w:r>
            <w:r>
              <w:rPr>
                <w:rFonts w:cs="Garamond" w:ascii="Garamond" w:hAnsi="Garamond"/>
                <w:sz w:val="22"/>
                <w:szCs w:val="22"/>
                <w:lang w:eastAsia="pt-BR"/>
              </w:rPr>
              <w:t>07</w:t>
            </w:r>
            <w:r>
              <w:rPr>
                <w:rFonts w:cs="Garamond" w:ascii="Garamond" w:hAnsi="Garamond"/>
                <w:sz w:val="22"/>
                <w:szCs w:val="22"/>
                <w:lang w:eastAsia="pt-BR"/>
              </w:rPr>
              <w:t xml:space="preserve"> – </w:t>
            </w:r>
            <w:r>
              <w:rPr>
                <w:rFonts w:cs="Garamond" w:ascii="Garamond" w:hAnsi="Garamond"/>
                <w:sz w:val="22"/>
                <w:szCs w:val="22"/>
                <w:lang w:eastAsia="pt-BR"/>
              </w:rPr>
              <w:t xml:space="preserve">Danos nas esquadrias. </w:t>
            </w:r>
          </w:p>
        </w:tc>
        <w:tc>
          <w:tcPr>
            <w:tcW w:w="4905" w:type="dxa"/>
            <w:tcBorders/>
            <w:shd w:fill="auto" w:val="clear"/>
          </w:tcPr>
          <w:p>
            <w:pPr>
              <w:pStyle w:val="Standard"/>
              <w:spacing w:lineRule="auto" w:line="276"/>
              <w:ind w:right="68" w:hanging="0"/>
              <w:rPr>
                <w:sz w:val="22"/>
                <w:szCs w:val="22"/>
              </w:rPr>
            </w:pPr>
            <w:r>
              <w:rPr>
                <w:rFonts w:cs="Garamond" w:ascii="Garamond" w:hAnsi="Garamond"/>
                <w:sz w:val="22"/>
                <w:szCs w:val="22"/>
                <w:lang w:eastAsia="pt-BR"/>
              </w:rPr>
              <w:t xml:space="preserve">Imagem </w:t>
            </w:r>
            <w:r>
              <w:rPr>
                <w:rFonts w:cs="Garamond" w:ascii="Garamond" w:hAnsi="Garamond"/>
                <w:sz w:val="22"/>
                <w:szCs w:val="22"/>
                <w:lang w:eastAsia="pt-BR"/>
              </w:rPr>
              <w:t>08</w:t>
            </w:r>
            <w:r>
              <w:rPr>
                <w:rFonts w:cs="Garamond" w:ascii="Garamond" w:hAnsi="Garamond"/>
                <w:sz w:val="22"/>
                <w:szCs w:val="22"/>
                <w:lang w:eastAsia="pt-BR"/>
              </w:rPr>
              <w:t xml:space="preserve"> – </w:t>
            </w:r>
            <w:r>
              <w:rPr>
                <w:rFonts w:cs="Garamond" w:ascii="Garamond" w:hAnsi="Garamond"/>
                <w:sz w:val="22"/>
                <w:szCs w:val="22"/>
                <w:lang w:eastAsia="pt-BR"/>
              </w:rPr>
              <w:t xml:space="preserve">Arruinamento de trecho de alvenaria. </w:t>
            </w:r>
          </w:p>
        </w:tc>
      </w:tr>
      <w:tr>
        <w:trPr>
          <w:trHeight w:val="4281" w:hRule="atLeast"/>
        </w:trPr>
        <w:tc>
          <w:tcPr>
            <w:tcW w:w="4335" w:type="dxa"/>
            <w:tcBorders/>
            <w:shd w:fill="auto" w:val="clear"/>
          </w:tcPr>
          <w:p>
            <w:pPr>
              <w:pStyle w:val="Standard"/>
              <w:spacing w:lineRule="auto" w:line="276"/>
              <w:ind w:right="68" w:hanging="0"/>
              <w:jc w:val="center"/>
              <w:rPr/>
            </w:pPr>
            <w:r>
              <w:rPr>
                <w:rFonts w:cs="Garamond" w:ascii="Garamond" w:hAnsi="Garamond"/>
                <w:lang w:eastAsia="pt-BR"/>
              </w:rPr>
              <w:drawing>
                <wp:inline distT="0" distB="0" distL="0" distR="0">
                  <wp:extent cx="2075815" cy="2687955"/>
                  <wp:effectExtent l="0" t="0" r="0" b="0"/>
                  <wp:docPr id="9" name="Imagem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5" descr=""/>
                          <pic:cNvPicPr>
                            <a:picLocks noChangeAspect="1" noChangeArrowheads="1"/>
                          </pic:cNvPicPr>
                        </pic:nvPicPr>
                        <pic:blipFill>
                          <a:blip r:embed="rId10"/>
                          <a:srcRect l="0" t="10416" r="0" b="0"/>
                          <a:stretch>
                            <a:fillRect/>
                          </a:stretch>
                        </pic:blipFill>
                        <pic:spPr bwMode="auto">
                          <a:xfrm>
                            <a:off x="0" y="0"/>
                            <a:ext cx="2075815" cy="2687955"/>
                          </a:xfrm>
                          <a:prstGeom prst="rect">
                            <a:avLst/>
                          </a:prstGeom>
                        </pic:spPr>
                      </pic:pic>
                    </a:graphicData>
                  </a:graphic>
                </wp:inline>
              </w:drawing>
            </w:r>
          </w:p>
        </w:tc>
        <w:tc>
          <w:tcPr>
            <w:tcW w:w="4905" w:type="dxa"/>
            <w:tcBorders/>
            <w:shd w:fill="auto" w:val="clear"/>
          </w:tcPr>
          <w:p>
            <w:pPr>
              <w:pStyle w:val="Standard"/>
              <w:spacing w:lineRule="auto" w:line="276"/>
              <w:ind w:right="68" w:hanging="0"/>
              <w:jc w:val="center"/>
              <w:rPr/>
            </w:pPr>
            <w:r>
              <w:rPr>
                <w:rFonts w:cs="Garamond" w:ascii="Garamond" w:hAnsi="Garamond"/>
                <w:lang w:eastAsia="pt-BR"/>
              </w:rPr>
              <w:drawing>
                <wp:inline distT="0" distB="0" distL="0" distR="0">
                  <wp:extent cx="2955290" cy="2212975"/>
                  <wp:effectExtent l="0" t="0" r="0" b="0"/>
                  <wp:docPr id="10" name="Imagem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2" descr=""/>
                          <pic:cNvPicPr>
                            <a:picLocks noChangeAspect="1" noChangeArrowheads="1"/>
                          </pic:cNvPicPr>
                        </pic:nvPicPr>
                        <pic:blipFill>
                          <a:blip r:embed="rId11"/>
                          <a:srcRect l="3546" t="0" r="0" b="0"/>
                          <a:stretch>
                            <a:fillRect/>
                          </a:stretch>
                        </pic:blipFill>
                        <pic:spPr bwMode="auto">
                          <a:xfrm>
                            <a:off x="0" y="0"/>
                            <a:ext cx="2955290" cy="2212975"/>
                          </a:xfrm>
                          <a:prstGeom prst="rect">
                            <a:avLst/>
                          </a:prstGeom>
                        </pic:spPr>
                      </pic:pic>
                    </a:graphicData>
                  </a:graphic>
                </wp:inline>
              </w:drawing>
            </w:r>
          </w:p>
        </w:tc>
      </w:tr>
      <w:tr>
        <w:trPr/>
        <w:tc>
          <w:tcPr>
            <w:tcW w:w="4335" w:type="dxa"/>
            <w:tcBorders/>
            <w:shd w:fill="auto" w:val="clear"/>
          </w:tcPr>
          <w:p>
            <w:pPr>
              <w:pStyle w:val="Standard"/>
              <w:spacing w:lineRule="auto" w:line="276"/>
              <w:ind w:right="68" w:hanging="0"/>
              <w:rPr>
                <w:sz w:val="22"/>
                <w:szCs w:val="22"/>
              </w:rPr>
            </w:pPr>
            <w:r>
              <w:rPr>
                <w:rFonts w:cs="Garamond" w:ascii="Garamond" w:hAnsi="Garamond"/>
                <w:sz w:val="22"/>
                <w:szCs w:val="22"/>
                <w:lang w:eastAsia="pt-BR"/>
              </w:rPr>
              <w:t>Im</w:t>
            </w:r>
            <w:r>
              <w:rPr>
                <w:rFonts w:cs="Garamond" w:ascii="Garamond" w:hAnsi="Garamond"/>
                <w:sz w:val="22"/>
                <w:szCs w:val="22"/>
                <w:lang w:eastAsia="pt-BR"/>
              </w:rPr>
              <w:t xml:space="preserve">agem </w:t>
            </w:r>
            <w:r>
              <w:rPr>
                <w:rFonts w:cs="Garamond" w:ascii="Garamond" w:hAnsi="Garamond"/>
                <w:sz w:val="22"/>
                <w:szCs w:val="22"/>
                <w:lang w:eastAsia="pt-BR"/>
              </w:rPr>
              <w:t>09</w:t>
            </w:r>
            <w:r>
              <w:rPr>
                <w:rFonts w:cs="Garamond" w:ascii="Garamond" w:hAnsi="Garamond"/>
                <w:sz w:val="22"/>
                <w:szCs w:val="22"/>
                <w:lang w:eastAsia="pt-BR"/>
              </w:rPr>
              <w:t xml:space="preserve"> – </w:t>
            </w:r>
            <w:r>
              <w:rPr>
                <w:rFonts w:cs="Garamond" w:ascii="Garamond" w:hAnsi="Garamond"/>
                <w:sz w:val="22"/>
                <w:szCs w:val="22"/>
                <w:lang w:eastAsia="pt-BR"/>
              </w:rPr>
              <w:t xml:space="preserve">Comprometimento do pé de esteio. </w:t>
            </w:r>
          </w:p>
        </w:tc>
        <w:tc>
          <w:tcPr>
            <w:tcW w:w="4905" w:type="dxa"/>
            <w:tcBorders/>
            <w:shd w:fill="auto" w:val="clear"/>
          </w:tcPr>
          <w:p>
            <w:pPr>
              <w:pStyle w:val="Standard"/>
              <w:spacing w:lineRule="auto" w:line="276"/>
              <w:ind w:right="68" w:hanging="0"/>
              <w:rPr>
                <w:sz w:val="22"/>
                <w:szCs w:val="22"/>
              </w:rPr>
            </w:pPr>
            <w:r>
              <w:rPr>
                <w:rFonts w:cs="Garamond" w:ascii="Garamond" w:hAnsi="Garamond"/>
                <w:sz w:val="22"/>
                <w:szCs w:val="22"/>
                <w:lang w:eastAsia="pt-BR"/>
              </w:rPr>
              <w:t xml:space="preserve">Imagem </w:t>
            </w:r>
            <w:r>
              <w:rPr>
                <w:rFonts w:cs="Garamond" w:ascii="Garamond" w:hAnsi="Garamond"/>
                <w:sz w:val="22"/>
                <w:szCs w:val="22"/>
                <w:lang w:eastAsia="pt-BR"/>
              </w:rPr>
              <w:t xml:space="preserve">10 - Sujeira sobre piso interno. </w:t>
            </w:r>
          </w:p>
        </w:tc>
      </w:tr>
      <w:tr>
        <w:trPr/>
        <w:tc>
          <w:tcPr>
            <w:tcW w:w="4335" w:type="dxa"/>
            <w:tcBorders/>
            <w:shd w:fill="auto" w:val="clear"/>
          </w:tcPr>
          <w:p>
            <w:pPr>
              <w:pStyle w:val="Standard"/>
              <w:spacing w:lineRule="auto" w:line="276"/>
              <w:ind w:right="68" w:hanging="0"/>
              <w:jc w:val="center"/>
              <w:rPr>
                <w:rFonts w:ascii="Garamond" w:hAnsi="Garamond"/>
              </w:rPr>
            </w:pPr>
            <w:r>
              <w:rPr>
                <w:rFonts w:cs="Garamond" w:ascii="Garamond" w:hAnsi="Garamond"/>
                <w:lang w:eastAsia="pt-BR"/>
              </w:rPr>
              <w:drawing>
                <wp:inline distT="0" distB="0" distL="0" distR="0">
                  <wp:extent cx="1972310" cy="2651125"/>
                  <wp:effectExtent l="0" t="0" r="0" b="0"/>
                  <wp:docPr id="11" name="Imagem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9" descr=""/>
                          <pic:cNvPicPr>
                            <a:picLocks noChangeAspect="1" noChangeArrowheads="1"/>
                          </pic:cNvPicPr>
                        </pic:nvPicPr>
                        <pic:blipFill>
                          <a:blip r:embed="rId12"/>
                          <a:srcRect l="0" t="6723" r="0" b="0"/>
                          <a:stretch>
                            <a:fillRect/>
                          </a:stretch>
                        </pic:blipFill>
                        <pic:spPr bwMode="auto">
                          <a:xfrm>
                            <a:off x="0" y="0"/>
                            <a:ext cx="1972310" cy="2651125"/>
                          </a:xfrm>
                          <a:prstGeom prst="rect">
                            <a:avLst/>
                          </a:prstGeom>
                        </pic:spPr>
                      </pic:pic>
                    </a:graphicData>
                  </a:graphic>
                </wp:inline>
              </w:drawing>
            </w:r>
          </w:p>
        </w:tc>
        <w:tc>
          <w:tcPr>
            <w:tcW w:w="4905" w:type="dxa"/>
            <w:tcBorders/>
            <w:shd w:fill="auto" w:val="clear"/>
          </w:tcPr>
          <w:p>
            <w:pPr>
              <w:pStyle w:val="Standard"/>
              <w:spacing w:lineRule="auto" w:line="276"/>
              <w:ind w:right="68" w:hanging="0"/>
              <w:jc w:val="center"/>
              <w:rPr>
                <w:rFonts w:ascii="Garamond" w:hAnsi="Garamond"/>
              </w:rPr>
            </w:pPr>
            <w:r>
              <w:rPr>
                <w:rFonts w:ascii="Garamond" w:hAnsi="Garamond"/>
              </w:rPr>
              <w:drawing>
                <wp:inline distT="0" distB="0" distL="0" distR="0">
                  <wp:extent cx="1836420" cy="2669540"/>
                  <wp:effectExtent l="0" t="0" r="0" b="0"/>
                  <wp:docPr id="12" name="Imagem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0" descr=""/>
                          <pic:cNvPicPr>
                            <a:picLocks noChangeAspect="1" noChangeArrowheads="1"/>
                          </pic:cNvPicPr>
                        </pic:nvPicPr>
                        <pic:blipFill>
                          <a:blip r:embed="rId13"/>
                          <a:srcRect l="0" t="0" r="0" b="4028"/>
                          <a:stretch>
                            <a:fillRect/>
                          </a:stretch>
                        </pic:blipFill>
                        <pic:spPr bwMode="auto">
                          <a:xfrm>
                            <a:off x="0" y="0"/>
                            <a:ext cx="1836420" cy="2669540"/>
                          </a:xfrm>
                          <a:prstGeom prst="rect">
                            <a:avLst/>
                          </a:prstGeom>
                        </pic:spPr>
                      </pic:pic>
                    </a:graphicData>
                  </a:graphic>
                </wp:inline>
              </w:drawing>
            </w:r>
          </w:p>
        </w:tc>
      </w:tr>
      <w:tr>
        <w:trPr/>
        <w:tc>
          <w:tcPr>
            <w:tcW w:w="9240" w:type="dxa"/>
            <w:gridSpan w:val="2"/>
            <w:tcBorders/>
            <w:shd w:fill="auto" w:val="clear"/>
          </w:tcPr>
          <w:p>
            <w:pPr>
              <w:pStyle w:val="Standard"/>
              <w:spacing w:lineRule="auto" w:line="276"/>
              <w:ind w:right="68" w:hanging="0"/>
              <w:jc w:val="left"/>
              <w:rPr>
                <w:rFonts w:ascii="Garamond" w:hAnsi="Garamond"/>
                <w:sz w:val="22"/>
                <w:szCs w:val="22"/>
              </w:rPr>
            </w:pPr>
            <w:r>
              <w:rPr>
                <w:rFonts w:ascii="Garamond" w:hAnsi="Garamond"/>
                <w:sz w:val="22"/>
                <w:szCs w:val="22"/>
              </w:rPr>
              <w:t>Figuras 11 e 12 - Trincas internas</w:t>
            </w:r>
          </w:p>
        </w:tc>
      </w:tr>
      <w:tr>
        <w:trPr/>
        <w:tc>
          <w:tcPr>
            <w:tcW w:w="4335" w:type="dxa"/>
            <w:tcBorders>
              <w:top w:val="nil"/>
            </w:tcBorders>
            <w:shd w:fill="auto" w:val="clear"/>
          </w:tcPr>
          <w:p>
            <w:pPr>
              <w:pStyle w:val="Standard"/>
              <w:spacing w:lineRule="auto" w:line="276"/>
              <w:ind w:right="68" w:hanging="0"/>
              <w:jc w:val="center"/>
              <w:rPr>
                <w:rFonts w:ascii="Garamond" w:hAnsi="Garamond"/>
              </w:rPr>
            </w:pPr>
            <w:r>
              <w:rPr>
                <w:rFonts w:ascii="Garamond" w:hAnsi="Garamond"/>
              </w:rPr>
              <w:drawing>
                <wp:inline distT="0" distB="0" distL="0" distR="0">
                  <wp:extent cx="2397760" cy="2964180"/>
                  <wp:effectExtent l="0" t="0" r="0" b="0"/>
                  <wp:docPr id="13" name="Imagem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21" descr=""/>
                          <pic:cNvPicPr>
                            <a:picLocks noChangeAspect="1" noChangeArrowheads="1"/>
                          </pic:cNvPicPr>
                        </pic:nvPicPr>
                        <pic:blipFill>
                          <a:blip r:embed="rId14"/>
                          <a:stretch>
                            <a:fillRect/>
                          </a:stretch>
                        </pic:blipFill>
                        <pic:spPr bwMode="auto">
                          <a:xfrm>
                            <a:off x="0" y="0"/>
                            <a:ext cx="2397760" cy="2964180"/>
                          </a:xfrm>
                          <a:prstGeom prst="rect">
                            <a:avLst/>
                          </a:prstGeom>
                        </pic:spPr>
                      </pic:pic>
                    </a:graphicData>
                  </a:graphic>
                </wp:inline>
              </w:drawing>
            </w:r>
          </w:p>
        </w:tc>
        <w:tc>
          <w:tcPr>
            <w:tcW w:w="4905" w:type="dxa"/>
            <w:tcBorders>
              <w:top w:val="nil"/>
            </w:tcBorders>
            <w:shd w:fill="auto" w:val="clear"/>
          </w:tcPr>
          <w:p>
            <w:pPr>
              <w:pStyle w:val="Standard"/>
              <w:spacing w:lineRule="auto" w:line="276"/>
              <w:ind w:right="68" w:hanging="0"/>
              <w:jc w:val="center"/>
              <w:rPr>
                <w:rFonts w:ascii="Garamond" w:hAnsi="Garamond"/>
              </w:rPr>
            </w:pPr>
            <w:r>
              <w:rPr>
                <w:rFonts w:ascii="Garamond" w:hAnsi="Garamond"/>
              </w:rPr>
              <w:drawing>
                <wp:inline distT="0" distB="0" distL="0" distR="0">
                  <wp:extent cx="2211070" cy="2948305"/>
                  <wp:effectExtent l="0" t="0" r="0" b="0"/>
                  <wp:docPr id="14" name="Imagem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0" descr=""/>
                          <pic:cNvPicPr>
                            <a:picLocks noChangeAspect="1" noChangeArrowheads="1"/>
                          </pic:cNvPicPr>
                        </pic:nvPicPr>
                        <pic:blipFill>
                          <a:blip r:embed="rId15"/>
                          <a:stretch>
                            <a:fillRect/>
                          </a:stretch>
                        </pic:blipFill>
                        <pic:spPr bwMode="auto">
                          <a:xfrm>
                            <a:off x="0" y="0"/>
                            <a:ext cx="2211070" cy="2948305"/>
                          </a:xfrm>
                          <a:prstGeom prst="rect">
                            <a:avLst/>
                          </a:prstGeom>
                        </pic:spPr>
                      </pic:pic>
                    </a:graphicData>
                  </a:graphic>
                </wp:inline>
              </w:drawing>
            </w:r>
          </w:p>
        </w:tc>
      </w:tr>
      <w:tr>
        <w:trPr/>
        <w:tc>
          <w:tcPr>
            <w:tcW w:w="4335" w:type="dxa"/>
            <w:tcBorders>
              <w:top w:val="nil"/>
            </w:tcBorders>
            <w:shd w:fill="auto" w:val="clear"/>
          </w:tcPr>
          <w:p>
            <w:pPr>
              <w:pStyle w:val="Standard"/>
              <w:spacing w:lineRule="auto" w:line="276"/>
              <w:ind w:right="68" w:hanging="0"/>
              <w:jc w:val="center"/>
              <w:rPr>
                <w:rFonts w:ascii="Garamond" w:hAnsi="Garamond"/>
                <w:sz w:val="22"/>
                <w:szCs w:val="22"/>
              </w:rPr>
            </w:pPr>
            <w:r>
              <w:rPr>
                <w:rFonts w:ascii="Garamond" w:hAnsi="Garamond"/>
                <w:sz w:val="22"/>
                <w:szCs w:val="22"/>
              </w:rPr>
              <w:t xml:space="preserve">Figura 13 - Comprometimento dos forros. </w:t>
            </w:r>
          </w:p>
        </w:tc>
        <w:tc>
          <w:tcPr>
            <w:tcW w:w="4905" w:type="dxa"/>
            <w:tcBorders>
              <w:top w:val="nil"/>
            </w:tcBorders>
            <w:shd w:fill="auto" w:val="clear"/>
          </w:tcPr>
          <w:p>
            <w:pPr>
              <w:pStyle w:val="Standard"/>
              <w:spacing w:lineRule="auto" w:line="276"/>
              <w:ind w:right="68" w:hanging="0"/>
              <w:jc w:val="center"/>
              <w:rPr>
                <w:rFonts w:ascii="Garamond" w:hAnsi="Garamond"/>
                <w:sz w:val="22"/>
                <w:szCs w:val="22"/>
              </w:rPr>
            </w:pPr>
            <w:r>
              <w:rPr>
                <w:rFonts w:ascii="Garamond" w:hAnsi="Garamond"/>
                <w:sz w:val="22"/>
                <w:szCs w:val="22"/>
              </w:rPr>
              <w:t xml:space="preserve">Figura 14 - Vegetação  invasora. </w:t>
            </w:r>
          </w:p>
        </w:tc>
      </w:tr>
      <w:tr>
        <w:trPr/>
        <w:tc>
          <w:tcPr>
            <w:tcW w:w="9240" w:type="dxa"/>
            <w:gridSpan w:val="2"/>
            <w:tcBorders>
              <w:top w:val="nil"/>
            </w:tcBorders>
            <w:shd w:fill="auto" w:val="clear"/>
          </w:tcPr>
          <w:p>
            <w:pPr>
              <w:pStyle w:val="Standard"/>
              <w:spacing w:lineRule="auto" w:line="276"/>
              <w:ind w:right="68" w:hanging="0"/>
              <w:jc w:val="center"/>
              <w:rPr>
                <w:rFonts w:ascii="Garamond" w:hAnsi="Garamond"/>
                <w:b w:val="false"/>
                <w:b w:val="false"/>
                <w:bCs w:val="false"/>
                <w:sz w:val="22"/>
                <w:szCs w:val="22"/>
              </w:rPr>
            </w:pPr>
            <w:r>
              <w:rPr>
                <w:rFonts w:ascii="Garamond" w:hAnsi="Garamond"/>
                <w:b w:val="false"/>
                <w:bCs w:val="false"/>
                <w:sz w:val="22"/>
                <w:szCs w:val="22"/>
              </w:rPr>
              <w:t xml:space="preserve">Fonte: </w:t>
            </w:r>
            <w:r>
              <w:rPr>
                <w:rFonts w:cs="Garamond" w:ascii="Garamond" w:hAnsi="Garamond"/>
                <w:b w:val="false"/>
                <w:bCs w:val="false"/>
                <w:sz w:val="22"/>
                <w:szCs w:val="22"/>
                <w:lang w:eastAsia="pt-BR"/>
              </w:rPr>
              <w:t xml:space="preserve">Fotos do laudo de vistoria da engenheira Vanilda Carneiro Tavares, datadas de 19 de agosto de 2016 , e imagens encaminhadas pela promotoria local, datadas de maio de 2018. </w:t>
            </w:r>
          </w:p>
        </w:tc>
      </w:tr>
    </w:tbl>
    <w:p>
      <w:pPr>
        <w:pStyle w:val="Standard"/>
        <w:spacing w:lineRule="auto" w:line="276"/>
        <w:ind w:right="68" w:firstLine="708"/>
        <w:jc w:val="both"/>
        <w:rPr>
          <w:rFonts w:ascii="Garamond" w:hAnsi="Garamond" w:cs="Garamond"/>
        </w:rPr>
      </w:pPr>
      <w:r>
        <w:rPr>
          <w:rFonts w:cs="Garamond" w:ascii="Garamond" w:hAnsi="Garamond"/>
        </w:rPr>
      </w:r>
    </w:p>
    <w:p>
      <w:pPr>
        <w:pStyle w:val="Standard"/>
        <w:numPr>
          <w:ilvl w:val="0"/>
          <w:numId w:val="1"/>
        </w:numPr>
        <w:spacing w:lineRule="auto" w:line="276"/>
        <w:ind w:right="68" w:hanging="0"/>
        <w:jc w:val="both"/>
        <w:rPr/>
      </w:pPr>
      <w:r>
        <w:rPr>
          <w:rFonts w:cs="Garamond" w:ascii="Garamond" w:hAnsi="Garamond"/>
          <w:b/>
          <w:bCs/>
        </w:rPr>
        <w:t xml:space="preserve">Fundamentação </w:t>
      </w:r>
    </w:p>
    <w:p>
      <w:pPr>
        <w:pStyle w:val="ListParagraph"/>
        <w:rPr>
          <w:rFonts w:ascii="Garamond" w:hAnsi="Garamond" w:cs="Garamond"/>
          <w:bCs/>
        </w:rPr>
      </w:pPr>
      <w:r>
        <w:rPr>
          <w:rFonts w:cs="Garamond" w:ascii="Garamond" w:hAnsi="Garamond"/>
          <w:bCs/>
        </w:rPr>
      </w:r>
    </w:p>
    <w:p>
      <w:pPr>
        <w:pStyle w:val="Standard"/>
        <w:spacing w:lineRule="auto" w:line="276"/>
        <w:jc w:val="both"/>
        <w:rPr/>
      </w:pPr>
      <w:r>
        <w:rPr>
          <w:rFonts w:cs="Garamond" w:ascii="Garamond" w:hAnsi="Garamond"/>
          <w:bCs/>
        </w:rPr>
        <w:tab/>
        <w:t>De acordo com a Lei Orgânica Municipal:</w:t>
      </w:r>
    </w:p>
    <w:p>
      <w:pPr>
        <w:pStyle w:val="Standard"/>
        <w:spacing w:lineRule="auto" w:line="276"/>
        <w:jc w:val="both"/>
        <w:rPr>
          <w:rFonts w:ascii="Garamond" w:hAnsi="Garamond" w:cs="Garamond"/>
          <w:bCs/>
        </w:rPr>
      </w:pPr>
      <w:r>
        <w:rPr/>
      </w:r>
    </w:p>
    <w:p>
      <w:pPr>
        <w:pStyle w:val="Default"/>
        <w:spacing w:lineRule="auto" w:line="276"/>
        <w:ind w:left="1701" w:right="0" w:hanging="0"/>
        <w:jc w:val="both"/>
        <w:rPr>
          <w:rFonts w:ascii="Garamond" w:hAnsi="Garamond"/>
          <w:b w:val="false"/>
          <w:b w:val="false"/>
          <w:bCs w:val="false"/>
          <w:sz w:val="24"/>
          <w:szCs w:val="24"/>
        </w:rPr>
      </w:pPr>
      <w:r>
        <w:rPr>
          <w:rFonts w:cs="Garamond" w:ascii="Garamond" w:hAnsi="Garamond"/>
          <w:b w:val="false"/>
          <w:bCs w:val="false"/>
          <w:color w:val="000000"/>
          <w:sz w:val="24"/>
          <w:szCs w:val="24"/>
        </w:rPr>
        <w:t xml:space="preserve">Art. 13 </w:t>
      </w:r>
      <w:r>
        <w:rPr>
          <w:rFonts w:ascii="Garamond" w:hAnsi="Garamond"/>
          <w:b w:val="false"/>
          <w:bCs w:val="false"/>
          <w:color w:val="000000"/>
          <w:sz w:val="24"/>
          <w:szCs w:val="24"/>
        </w:rPr>
        <w:t xml:space="preserve">- É competência do Município, concorrentemente com a União e o Estado de Minas Gerais: </w:t>
      </w:r>
    </w:p>
    <w:p>
      <w:pPr>
        <w:pStyle w:val="Default"/>
        <w:spacing w:lineRule="auto" w:line="276"/>
        <w:ind w:left="1701" w:right="0" w:hanging="0"/>
        <w:jc w:val="both"/>
        <w:rPr>
          <w:rFonts w:ascii="Garamond" w:hAnsi="Garamond"/>
          <w:b w:val="false"/>
          <w:b w:val="false"/>
          <w:bCs w:val="false"/>
          <w:sz w:val="24"/>
          <w:szCs w:val="24"/>
        </w:rPr>
      </w:pPr>
      <w:r>
        <w:rPr>
          <w:rFonts w:ascii="Garamond" w:hAnsi="Garamond"/>
          <w:b w:val="false"/>
          <w:bCs w:val="false"/>
          <w:color w:val="000000"/>
          <w:sz w:val="24"/>
          <w:szCs w:val="24"/>
        </w:rPr>
        <w:t>(...)</w:t>
      </w:r>
    </w:p>
    <w:p>
      <w:pPr>
        <w:pStyle w:val="Default"/>
        <w:spacing w:lineRule="auto" w:line="276"/>
        <w:ind w:left="1701" w:right="0" w:hanging="0"/>
        <w:rPr>
          <w:rFonts w:ascii="Garamond" w:hAnsi="Garamond"/>
          <w:b w:val="false"/>
          <w:b w:val="false"/>
          <w:bCs w:val="false"/>
          <w:sz w:val="24"/>
          <w:szCs w:val="24"/>
        </w:rPr>
      </w:pPr>
      <w:r>
        <w:rPr>
          <w:rFonts w:ascii="Garamond" w:hAnsi="Garamond"/>
          <w:b w:val="false"/>
          <w:bCs w:val="false"/>
          <w:strike w:val="false"/>
          <w:dstrike w:val="false"/>
          <w:color w:val="000000"/>
          <w:sz w:val="24"/>
          <w:szCs w:val="24"/>
          <w:u w:val="none"/>
        </w:rPr>
        <w:t xml:space="preserve">III - proteger os documentos, as obras e outros bens de valor histórico, artístico e cultural, os monumentos, as paisagens naturais notáveis e os sítios arqueológicos; </w:t>
      </w:r>
    </w:p>
    <w:p>
      <w:pPr>
        <w:pStyle w:val="Normal"/>
        <w:spacing w:lineRule="auto" w:line="276"/>
        <w:ind w:left="1701" w:right="0" w:hanging="0"/>
        <w:jc w:val="both"/>
        <w:rPr>
          <w:rFonts w:ascii="Garamond" w:hAnsi="Garamond" w:cs="Garamond"/>
          <w:b w:val="false"/>
          <w:b w:val="false"/>
          <w:bCs/>
          <w:color w:val="000000"/>
          <w:sz w:val="23"/>
        </w:rPr>
      </w:pPr>
      <w:r>
        <w:rPr>
          <w:rFonts w:ascii="Garamond" w:hAnsi="Garamond"/>
          <w:b w:val="false"/>
          <w:bCs w:val="false"/>
          <w:strike w:val="false"/>
          <w:dstrike w:val="false"/>
          <w:color w:val="000000"/>
          <w:sz w:val="24"/>
          <w:szCs w:val="24"/>
          <w:u w:val="none"/>
        </w:rPr>
        <w:t xml:space="preserve">IV - impedir a evasão, a destruição e a descaracterização de obras de arte e de outros bens de valor histórico, artístico ou cultural; </w:t>
      </w:r>
    </w:p>
    <w:p>
      <w:pPr>
        <w:pStyle w:val="Normal"/>
        <w:spacing w:lineRule="auto" w:line="276"/>
        <w:ind w:left="1701" w:right="0" w:hanging="0"/>
        <w:jc w:val="both"/>
        <w:rPr>
          <w:rFonts w:ascii="Garamond" w:hAnsi="Garamond"/>
          <w:b w:val="false"/>
          <w:b w:val="false"/>
          <w:bCs w:val="false"/>
          <w:sz w:val="24"/>
          <w:szCs w:val="24"/>
        </w:rPr>
      </w:pPr>
      <w:r>
        <w:rPr>
          <w:rFonts w:cs="Garamond" w:ascii="Garamond" w:hAnsi="Garamond"/>
          <w:b w:val="false"/>
          <w:bCs w:val="false"/>
          <w:color w:val="000000"/>
          <w:sz w:val="24"/>
          <w:szCs w:val="24"/>
        </w:rPr>
        <w:t>(...)</w:t>
      </w:r>
    </w:p>
    <w:p>
      <w:pPr>
        <w:pStyle w:val="Normal"/>
        <w:spacing w:lineRule="auto" w:line="276"/>
        <w:ind w:left="1701" w:right="0" w:hanging="0"/>
        <w:jc w:val="both"/>
        <w:rPr>
          <w:rFonts w:ascii="Garamond" w:hAnsi="Garamond"/>
          <w:b w:val="false"/>
          <w:b w:val="false"/>
          <w:bCs w:val="false"/>
          <w:sz w:val="24"/>
          <w:szCs w:val="24"/>
        </w:rPr>
      </w:pPr>
      <w:r>
        <w:rPr>
          <w:rFonts w:cs="Garamond" w:ascii="Garamond" w:hAnsi="Garamond"/>
          <w:b w:val="false"/>
          <w:bCs w:val="false"/>
          <w:color w:val="000000"/>
          <w:sz w:val="24"/>
          <w:szCs w:val="24"/>
        </w:rPr>
        <w:t xml:space="preserve">Art. 167 </w:t>
      </w:r>
      <w:r>
        <w:rPr>
          <w:rFonts w:ascii="Garamond" w:hAnsi="Garamond"/>
          <w:b w:val="false"/>
          <w:bCs w:val="false"/>
          <w:color w:val="000000"/>
          <w:sz w:val="24"/>
          <w:szCs w:val="24"/>
        </w:rPr>
        <w:t xml:space="preserve">– O Município garantirá a todos os cidadãos o pleno exercício dos direitos culturais e acesso às fontes de cultura, apoiando e investindo na valorização e difusão das manifestações culturais da comunidade Piranguense, mediante: </w:t>
      </w:r>
    </w:p>
    <w:p>
      <w:pPr>
        <w:pStyle w:val="Normal"/>
        <w:spacing w:lineRule="auto" w:line="276"/>
        <w:ind w:left="1701" w:right="0" w:hanging="0"/>
        <w:jc w:val="both"/>
        <w:rPr>
          <w:rFonts w:ascii="Garamond" w:hAnsi="Garamond"/>
          <w:b w:val="false"/>
          <w:b w:val="false"/>
          <w:bCs w:val="false"/>
          <w:sz w:val="24"/>
          <w:szCs w:val="24"/>
        </w:rPr>
      </w:pPr>
      <w:r>
        <w:rPr>
          <w:rFonts w:cs="Garamond" w:ascii="Garamond" w:hAnsi="Garamond"/>
          <w:b w:val="false"/>
          <w:bCs w:val="false"/>
          <w:color w:val="000000"/>
          <w:sz w:val="24"/>
          <w:szCs w:val="24"/>
        </w:rPr>
        <w:t>(...)</w:t>
      </w:r>
    </w:p>
    <w:p>
      <w:pPr>
        <w:pStyle w:val="Normal"/>
        <w:spacing w:lineRule="auto" w:line="276"/>
        <w:ind w:left="1701" w:right="0" w:hanging="0"/>
        <w:jc w:val="both"/>
        <w:rPr>
          <w:rFonts w:ascii="Garamond" w:hAnsi="Garamond"/>
          <w:b w:val="false"/>
          <w:b w:val="false"/>
          <w:bCs w:val="false"/>
          <w:sz w:val="24"/>
          <w:szCs w:val="24"/>
        </w:rPr>
      </w:pPr>
      <w:r>
        <w:rPr>
          <w:rFonts w:cs="Garamond" w:ascii="Garamond" w:hAnsi="Garamond"/>
          <w:b w:val="false"/>
          <w:bCs w:val="false"/>
          <w:color w:val="000000"/>
          <w:sz w:val="24"/>
          <w:szCs w:val="24"/>
        </w:rPr>
        <w:t xml:space="preserve">IV </w:t>
      </w:r>
      <w:r>
        <w:rPr>
          <w:rFonts w:ascii="Garamond" w:hAnsi="Garamond"/>
          <w:b w:val="false"/>
          <w:bCs w:val="false"/>
          <w:color w:val="000000"/>
          <w:sz w:val="24"/>
          <w:szCs w:val="24"/>
        </w:rPr>
        <w:t xml:space="preserve">– adoção de medidas adequadas à identificação, proteção, conservação, valorização e recuperação do patrimônio cultural, histórico e natural do Município; </w:t>
      </w:r>
    </w:p>
    <w:p>
      <w:pPr>
        <w:pStyle w:val="Normal"/>
        <w:spacing w:lineRule="auto" w:line="276"/>
        <w:ind w:left="1701" w:right="0" w:hanging="0"/>
        <w:jc w:val="both"/>
        <w:rPr>
          <w:rFonts w:ascii="Garamond" w:hAnsi="Garamond"/>
          <w:b w:val="false"/>
          <w:b w:val="false"/>
          <w:bCs w:val="false"/>
          <w:sz w:val="24"/>
          <w:szCs w:val="24"/>
        </w:rPr>
      </w:pPr>
      <w:r>
        <w:rPr>
          <w:rFonts w:cs="Garamond" w:ascii="Garamond" w:hAnsi="Garamond"/>
          <w:b w:val="false"/>
          <w:bCs w:val="false"/>
          <w:color w:val="000000"/>
          <w:sz w:val="24"/>
          <w:szCs w:val="24"/>
        </w:rPr>
        <w:t>(...)</w:t>
      </w:r>
    </w:p>
    <w:p>
      <w:pPr>
        <w:pStyle w:val="Default"/>
        <w:spacing w:lineRule="auto" w:line="276"/>
        <w:ind w:left="1701" w:right="0" w:hanging="0"/>
        <w:jc w:val="both"/>
        <w:rPr>
          <w:rFonts w:ascii="Garamond" w:hAnsi="Garamond"/>
          <w:b w:val="false"/>
          <w:b w:val="false"/>
          <w:bCs w:val="false"/>
          <w:sz w:val="24"/>
          <w:szCs w:val="24"/>
        </w:rPr>
      </w:pPr>
      <w:r>
        <w:rPr>
          <w:rFonts w:cs="Garamond" w:ascii="Garamond" w:hAnsi="Garamond"/>
          <w:b w:val="false"/>
          <w:bCs w:val="false"/>
          <w:color w:val="000000"/>
          <w:sz w:val="24"/>
          <w:szCs w:val="24"/>
        </w:rPr>
        <w:t xml:space="preserve">Art. 168 </w:t>
      </w:r>
      <w:r>
        <w:rPr>
          <w:rFonts w:ascii="Garamond" w:hAnsi="Garamond"/>
          <w:b w:val="false"/>
          <w:bCs w:val="false"/>
          <w:color w:val="000000"/>
          <w:sz w:val="24"/>
          <w:szCs w:val="24"/>
        </w:rPr>
        <w:t xml:space="preserve">- Constituem patrimônio cultural do Município os bens de natureza material e imaterial, tomados individualmente ou em conjunto, que contenham referência à identidade, à ação e à memória do Piranguense, entre os quais se incluem: </w:t>
      </w:r>
    </w:p>
    <w:p>
      <w:pPr>
        <w:pStyle w:val="Default"/>
        <w:spacing w:lineRule="auto" w:line="276"/>
        <w:ind w:left="1701" w:right="0" w:hanging="0"/>
        <w:rPr>
          <w:rFonts w:ascii="Garamond" w:hAnsi="Garamond"/>
          <w:b w:val="false"/>
          <w:b w:val="false"/>
          <w:bCs w:val="false"/>
          <w:sz w:val="24"/>
          <w:szCs w:val="24"/>
        </w:rPr>
      </w:pPr>
      <w:r>
        <w:rPr>
          <w:rFonts w:ascii="Garamond" w:hAnsi="Garamond"/>
          <w:b w:val="false"/>
          <w:bCs w:val="false"/>
          <w:strike w:val="false"/>
          <w:dstrike w:val="false"/>
          <w:color w:val="000000"/>
          <w:sz w:val="24"/>
          <w:szCs w:val="24"/>
          <w:u w:val="none"/>
        </w:rPr>
        <w:t xml:space="preserve">I - as formas de expressão; </w:t>
      </w:r>
    </w:p>
    <w:p>
      <w:pPr>
        <w:pStyle w:val="Default"/>
        <w:spacing w:lineRule="auto" w:line="276"/>
        <w:ind w:left="1701" w:right="0" w:hanging="0"/>
        <w:rPr>
          <w:rFonts w:ascii="Garamond" w:hAnsi="Garamond"/>
          <w:b w:val="false"/>
          <w:b w:val="false"/>
          <w:bCs w:val="false"/>
          <w:sz w:val="24"/>
          <w:szCs w:val="24"/>
        </w:rPr>
      </w:pPr>
      <w:r>
        <w:rPr>
          <w:rFonts w:ascii="Garamond" w:hAnsi="Garamond"/>
          <w:b w:val="false"/>
          <w:bCs w:val="false"/>
          <w:strike w:val="false"/>
          <w:dstrike w:val="false"/>
          <w:color w:val="000000"/>
          <w:sz w:val="24"/>
          <w:szCs w:val="24"/>
          <w:u w:val="none"/>
        </w:rPr>
        <w:t xml:space="preserve">II - os modos de criar, fazer e viver; </w:t>
      </w:r>
    </w:p>
    <w:p>
      <w:pPr>
        <w:pStyle w:val="Default"/>
        <w:spacing w:lineRule="auto" w:line="276"/>
        <w:ind w:left="1701" w:right="0" w:hanging="0"/>
        <w:rPr>
          <w:rFonts w:ascii="Garamond" w:hAnsi="Garamond"/>
          <w:b w:val="false"/>
          <w:b w:val="false"/>
          <w:bCs w:val="false"/>
          <w:sz w:val="24"/>
          <w:szCs w:val="24"/>
        </w:rPr>
      </w:pPr>
      <w:r>
        <w:rPr>
          <w:rFonts w:ascii="Garamond" w:hAnsi="Garamond"/>
          <w:b w:val="false"/>
          <w:bCs w:val="false"/>
          <w:strike w:val="false"/>
          <w:dstrike w:val="false"/>
          <w:color w:val="000000"/>
          <w:sz w:val="24"/>
          <w:szCs w:val="24"/>
          <w:u w:val="none"/>
        </w:rPr>
        <w:t xml:space="preserve">III - as criações tecnológicas, científicas e artísticas; </w:t>
      </w:r>
    </w:p>
    <w:p>
      <w:pPr>
        <w:pStyle w:val="Normal"/>
        <w:spacing w:lineRule="auto" w:line="276"/>
        <w:ind w:left="1701" w:right="0" w:hanging="0"/>
        <w:jc w:val="both"/>
        <w:rPr>
          <w:rFonts w:ascii="Garamond" w:hAnsi="Garamond"/>
          <w:b w:val="false"/>
          <w:b w:val="false"/>
          <w:bCs w:val="false"/>
          <w:sz w:val="24"/>
          <w:szCs w:val="24"/>
        </w:rPr>
      </w:pPr>
      <w:r>
        <w:rPr>
          <w:rFonts w:ascii="Garamond" w:hAnsi="Garamond"/>
          <w:b w:val="false"/>
          <w:bCs w:val="false"/>
          <w:strike w:val="false"/>
          <w:dstrike w:val="false"/>
          <w:color w:val="000000"/>
          <w:sz w:val="24"/>
          <w:szCs w:val="24"/>
          <w:u w:val="none"/>
        </w:rPr>
        <w:t xml:space="preserve">IV - as obras, os objetos, os documentos, as edificações e outros espaços destinados a manifestações artísticas e culturais, nestas incluídas todas as formas de expressão popular; </w:t>
      </w:r>
    </w:p>
    <w:p>
      <w:pPr>
        <w:pStyle w:val="Normal"/>
        <w:spacing w:lineRule="auto" w:line="276"/>
        <w:ind w:left="1701" w:right="0" w:hanging="0"/>
        <w:jc w:val="both"/>
        <w:rPr>
          <w:rFonts w:ascii="Garamond" w:hAnsi="Garamond" w:cs="Garamond"/>
          <w:b w:val="false"/>
          <w:b w:val="false"/>
          <w:bCs/>
          <w:strike w:val="false"/>
          <w:dstrike w:val="false"/>
          <w:color w:val="000000"/>
          <w:sz w:val="23"/>
          <w:u w:val="none"/>
        </w:rPr>
      </w:pPr>
      <w:r>
        <w:rPr>
          <w:rFonts w:cs="Garamond" w:ascii="Garamond" w:hAnsi="Garamond"/>
          <w:b w:val="false"/>
          <w:bCs w:val="false"/>
          <w:strike w:val="false"/>
          <w:dstrike w:val="false"/>
          <w:color w:val="000000"/>
          <w:sz w:val="24"/>
          <w:szCs w:val="24"/>
          <w:u w:val="none"/>
        </w:rPr>
        <w:t>V - os conjuntos urbanos e os s</w:t>
      </w:r>
      <w:r>
        <w:rPr>
          <w:rFonts w:ascii="Garamond" w:hAnsi="Garamond"/>
          <w:b w:val="false"/>
          <w:bCs w:val="false"/>
          <w:color w:val="000000"/>
          <w:sz w:val="24"/>
          <w:szCs w:val="24"/>
        </w:rPr>
        <w:t xml:space="preserve">ítios de valor histórico, artístico, paisagístico, arqueológico, paleontológico, ecológico e científico. </w:t>
      </w:r>
    </w:p>
    <w:p>
      <w:pPr>
        <w:pStyle w:val="Default"/>
        <w:spacing w:lineRule="auto" w:line="276"/>
        <w:ind w:left="1701" w:right="0" w:hanging="0"/>
        <w:jc w:val="both"/>
        <w:rPr>
          <w:rFonts w:ascii="Garamond" w:hAnsi="Garamond"/>
          <w:b w:val="false"/>
          <w:b w:val="false"/>
          <w:bCs w:val="false"/>
          <w:sz w:val="24"/>
          <w:szCs w:val="24"/>
        </w:rPr>
      </w:pPr>
      <w:r>
        <w:rPr>
          <w:rFonts w:cs="Garamond" w:ascii="Garamond" w:hAnsi="Garamond"/>
          <w:b w:val="false"/>
          <w:bCs w:val="false"/>
          <w:color w:val="000000"/>
          <w:sz w:val="24"/>
          <w:szCs w:val="24"/>
        </w:rPr>
        <w:t xml:space="preserve">Art. 169 </w:t>
      </w:r>
      <w:r>
        <w:rPr>
          <w:rFonts w:ascii="Garamond" w:hAnsi="Garamond"/>
          <w:b w:val="false"/>
          <w:bCs w:val="false"/>
          <w:color w:val="000000"/>
          <w:sz w:val="24"/>
          <w:szCs w:val="24"/>
        </w:rPr>
        <w:t xml:space="preserve">– O Município instituirá o fundo municipal do desenvolvimento cultural, conforme disposto em lei. </w:t>
      </w:r>
    </w:p>
    <w:p>
      <w:pPr>
        <w:pStyle w:val="Default"/>
        <w:spacing w:lineRule="auto" w:line="276"/>
        <w:ind w:left="1701" w:right="0" w:hanging="0"/>
        <w:rPr>
          <w:rFonts w:ascii="Garamond" w:hAnsi="Garamond"/>
          <w:b w:val="false"/>
          <w:b w:val="false"/>
          <w:bCs w:val="false"/>
          <w:sz w:val="24"/>
          <w:szCs w:val="24"/>
        </w:rPr>
      </w:pPr>
      <w:r>
        <w:rPr>
          <w:rFonts w:ascii="Garamond" w:hAnsi="Garamond"/>
          <w:b w:val="false"/>
          <w:bCs w:val="false"/>
          <w:strike w:val="false"/>
          <w:dstrike w:val="false"/>
          <w:color w:val="000000"/>
          <w:sz w:val="24"/>
          <w:szCs w:val="24"/>
          <w:u w:val="none"/>
        </w:rPr>
        <w:t xml:space="preserve">Art. 170 – O Município fará implantar política pública de proteção ao patrimônio cultural e natural, dispondo sobre a preservação de bens móveis e imóveis de propriedade pública ou particular em que for constatada a existência de valor histórico, arquitetônico, arqueológico, paisagístico, bibliográfico, artístico ou ecológico. </w:t>
      </w:r>
    </w:p>
    <w:p>
      <w:pPr>
        <w:pStyle w:val="Normal"/>
        <w:spacing w:lineRule="auto" w:line="276"/>
        <w:ind w:left="1701" w:right="0" w:hanging="0"/>
        <w:jc w:val="both"/>
        <w:rPr>
          <w:rFonts w:ascii="Garamond" w:hAnsi="Garamond" w:cs="Garamond"/>
          <w:b w:val="false"/>
          <w:b w:val="false"/>
          <w:bCs/>
          <w:color w:val="000000"/>
          <w:sz w:val="23"/>
        </w:rPr>
      </w:pPr>
      <w:r>
        <w:rPr>
          <w:rFonts w:ascii="Garamond" w:hAnsi="Garamond"/>
          <w:b w:val="false"/>
          <w:bCs w:val="false"/>
          <w:strike w:val="false"/>
          <w:dstrike w:val="false"/>
          <w:color w:val="000000"/>
          <w:sz w:val="24"/>
          <w:szCs w:val="24"/>
          <w:u w:val="none"/>
        </w:rPr>
        <w:t xml:space="preserve">Art. 171 - O Município, com a colaboração da sociedade civil, protegerá o seu patrimônio histórico e cultural, por meio de inventários, pesquisas, registros, vigilância, tombamento, desapropriação e outras formas de acautelamento e preservação. </w:t>
      </w:r>
    </w:p>
    <w:p>
      <w:pPr>
        <w:pStyle w:val="Normal"/>
        <w:spacing w:lineRule="auto" w:line="276"/>
        <w:ind w:left="1701" w:right="0" w:hanging="0"/>
        <w:jc w:val="both"/>
        <w:rPr>
          <w:rFonts w:cs="Garamond"/>
          <w:color w:val="000000"/>
        </w:rPr>
      </w:pPr>
      <w:r>
        <w:rPr>
          <w:rFonts w:ascii="Garamond" w:hAnsi="Garamond"/>
          <w:b w:val="false"/>
          <w:bCs w:val="false"/>
          <w:sz w:val="24"/>
          <w:szCs w:val="24"/>
        </w:rPr>
      </w:r>
    </w:p>
    <w:p>
      <w:pPr>
        <w:pStyle w:val="Standard"/>
        <w:spacing w:lineRule="auto" w:line="276"/>
        <w:jc w:val="both"/>
        <w:rPr/>
      </w:pPr>
      <w:r>
        <w:rPr>
          <w:rFonts w:cs="Garamond" w:ascii="Garamond" w:hAnsi="Garamond"/>
          <w:bCs/>
        </w:rPr>
        <w:tab/>
      </w:r>
      <w:r>
        <w:rPr>
          <w:rFonts w:cs="Garamond" w:ascii="Garamond" w:hAnsi="Garamond"/>
          <w:bCs/>
        </w:rPr>
        <w:t>De acordo com a Lei Municipal  1432/2010, que dispõe sobre a Proteção do Patrimônio Cultural no Município de Piranga:</w:t>
      </w:r>
      <w:bookmarkStart w:id="0" w:name="_GoBack"/>
      <w:bookmarkEnd w:id="0"/>
    </w:p>
    <w:p>
      <w:pPr>
        <w:pStyle w:val="Standard"/>
        <w:spacing w:lineRule="auto" w:line="276"/>
        <w:jc w:val="both"/>
        <w:rPr>
          <w:rFonts w:ascii="Garamond" w:hAnsi="Garamond" w:cs="Garamond"/>
          <w:b/>
          <w:b/>
          <w:bCs/>
        </w:rPr>
      </w:pPr>
      <w:r>
        <w:rPr>
          <w:rFonts w:cs="Garamond" w:ascii="Garamond" w:hAnsi="Garamond"/>
          <w:b/>
          <w:bCs/>
        </w:rPr>
      </w:r>
    </w:p>
    <w:p>
      <w:pPr>
        <w:pStyle w:val="Standard"/>
        <w:spacing w:lineRule="auto" w:line="276"/>
        <w:ind w:left="1701" w:right="0" w:hanging="0"/>
        <w:jc w:val="both"/>
        <w:rPr/>
      </w:pPr>
      <w:r>
        <w:rPr>
          <w:rFonts w:cs="Garamond" w:ascii="Garamond" w:hAnsi="Garamond"/>
          <w:bCs/>
        </w:rPr>
        <w:t xml:space="preserve">Art. 1º - Constituem patrimônio cultural do Município de Piranga os bens de natureza material e imaterial, públicos ou particulares, tomados individualmente ou em conjunto, que contenham referência à identidade, à ação e à memória dos diferentes grupos formadores da comunidade municipal, entre os quais se incluem: </w:t>
      </w:r>
    </w:p>
    <w:p>
      <w:pPr>
        <w:pStyle w:val="Standard"/>
        <w:spacing w:lineRule="auto" w:line="276"/>
        <w:ind w:left="1701" w:right="0" w:hanging="0"/>
        <w:jc w:val="both"/>
        <w:rPr/>
      </w:pPr>
      <w:r>
        <w:rPr>
          <w:rFonts w:cs="Garamond" w:ascii="Garamond" w:hAnsi="Garamond"/>
          <w:bCs/>
        </w:rPr>
        <w:t xml:space="preserve">I - as formas de expressão; </w:t>
      </w:r>
    </w:p>
    <w:p>
      <w:pPr>
        <w:pStyle w:val="Standard"/>
        <w:spacing w:lineRule="auto" w:line="276"/>
        <w:ind w:left="1701" w:right="0" w:hanging="0"/>
        <w:jc w:val="both"/>
        <w:rPr/>
      </w:pPr>
      <w:r>
        <w:rPr>
          <w:rFonts w:cs="Garamond" w:ascii="Garamond" w:hAnsi="Garamond"/>
          <w:bCs/>
        </w:rPr>
        <w:t>II - os modos de criar, fazer e viver;</w:t>
      </w:r>
    </w:p>
    <w:p>
      <w:pPr>
        <w:pStyle w:val="Standard"/>
        <w:spacing w:lineRule="auto" w:line="276"/>
        <w:ind w:left="1701" w:right="0" w:hanging="0"/>
        <w:jc w:val="both"/>
        <w:rPr/>
      </w:pPr>
      <w:r>
        <w:rPr>
          <w:rFonts w:cs="Garamond" w:ascii="Garamond" w:hAnsi="Garamond"/>
          <w:bCs/>
        </w:rPr>
        <w:t xml:space="preserve"> </w:t>
      </w:r>
      <w:r>
        <w:rPr>
          <w:rFonts w:cs="Garamond" w:ascii="Garamond" w:hAnsi="Garamond"/>
          <w:bCs/>
        </w:rPr>
        <w:t xml:space="preserve">III - as criações científicas, tecnológicas e artísticas; </w:t>
      </w:r>
    </w:p>
    <w:p>
      <w:pPr>
        <w:pStyle w:val="Standard"/>
        <w:spacing w:lineRule="auto" w:line="276"/>
        <w:ind w:left="1701" w:right="0" w:hanging="0"/>
        <w:jc w:val="both"/>
        <w:rPr/>
      </w:pPr>
      <w:r>
        <w:rPr>
          <w:rFonts w:cs="Garamond" w:ascii="Garamond" w:hAnsi="Garamond"/>
          <w:bCs/>
        </w:rPr>
        <w:t xml:space="preserve">IV - as obras, objetos, documentos, edificações e demais espaços 2 </w:t>
      </w:r>
    </w:p>
    <w:p>
      <w:pPr>
        <w:pStyle w:val="Standard"/>
        <w:spacing w:lineRule="auto" w:line="276"/>
        <w:ind w:left="1701" w:right="0" w:hanging="0"/>
        <w:jc w:val="both"/>
        <w:rPr/>
      </w:pPr>
      <w:r>
        <w:rPr>
          <w:rFonts w:cs="Garamond" w:ascii="Garamond" w:hAnsi="Garamond"/>
          <w:bCs/>
        </w:rPr>
        <w:t xml:space="preserve">V - os conjuntos urbanos e sítios de valor histórico, paisagístico, artístico, arqueológico, espeleológico, paleontológico, ecológico e científico; </w:t>
      </w:r>
    </w:p>
    <w:p>
      <w:pPr>
        <w:pStyle w:val="Standard"/>
        <w:spacing w:lineRule="auto" w:line="276"/>
        <w:ind w:left="1701" w:right="0" w:hanging="0"/>
        <w:jc w:val="both"/>
        <w:rPr/>
      </w:pPr>
      <w:r>
        <w:rPr>
          <w:rFonts w:cs="Garamond" w:ascii="Garamond" w:hAnsi="Garamond"/>
          <w:bCs/>
        </w:rPr>
        <w:t xml:space="preserve">VI - os lugares onde se concentram e se reproduzem as práticas culturais coletivas. </w:t>
      </w:r>
    </w:p>
    <w:p>
      <w:pPr>
        <w:pStyle w:val="Standard"/>
        <w:spacing w:lineRule="auto" w:line="276"/>
        <w:ind w:left="1701" w:right="0" w:hanging="0"/>
        <w:jc w:val="both"/>
        <w:rPr>
          <w:rFonts w:ascii="Garamond" w:hAnsi="Garamond" w:cs="Garamond"/>
          <w:bCs/>
        </w:rPr>
      </w:pPr>
      <w:r>
        <w:rPr>
          <w:rFonts w:cs="Garamond" w:ascii="Garamond" w:hAnsi="Garamond"/>
          <w:bCs/>
        </w:rPr>
      </w:r>
    </w:p>
    <w:p>
      <w:pPr>
        <w:pStyle w:val="Standard"/>
        <w:spacing w:lineRule="auto" w:line="276"/>
        <w:ind w:left="1701" w:right="0" w:hanging="0"/>
        <w:jc w:val="both"/>
        <w:rPr/>
      </w:pPr>
      <w:r>
        <w:rPr>
          <w:rFonts w:cs="Garamond" w:ascii="Garamond" w:hAnsi="Garamond"/>
          <w:bCs/>
        </w:rPr>
        <w:t xml:space="preserve">Art. 2º - O Município de Piranga, com a colaboração da comunidade, promoverá e protegerá o seu patrimônio cultural, por meio de: </w:t>
      </w:r>
    </w:p>
    <w:p>
      <w:pPr>
        <w:pStyle w:val="Standard"/>
        <w:spacing w:lineRule="auto" w:line="276"/>
        <w:ind w:left="1701" w:right="0" w:hanging="0"/>
        <w:jc w:val="both"/>
        <w:rPr/>
      </w:pPr>
      <w:r>
        <w:rPr>
          <w:rFonts w:cs="Garamond" w:ascii="Garamond" w:hAnsi="Garamond"/>
          <w:bCs/>
        </w:rPr>
        <w:t xml:space="preserve">I - inventário; </w:t>
      </w:r>
    </w:p>
    <w:p>
      <w:pPr>
        <w:pStyle w:val="Standard"/>
        <w:spacing w:lineRule="auto" w:line="276"/>
        <w:ind w:left="1701" w:right="0" w:hanging="0"/>
        <w:jc w:val="both"/>
        <w:rPr/>
      </w:pPr>
      <w:r>
        <w:rPr>
          <w:rFonts w:cs="Garamond" w:ascii="Garamond" w:hAnsi="Garamond"/>
          <w:bCs/>
        </w:rPr>
        <w:t xml:space="preserve">II - registro; </w:t>
      </w:r>
    </w:p>
    <w:p>
      <w:pPr>
        <w:pStyle w:val="Standard"/>
        <w:spacing w:lineRule="auto" w:line="276"/>
        <w:ind w:left="1701" w:right="0" w:hanging="0"/>
        <w:jc w:val="both"/>
        <w:rPr/>
      </w:pPr>
      <w:r>
        <w:rPr>
          <w:rFonts w:cs="Garamond" w:ascii="Garamond" w:hAnsi="Garamond"/>
          <w:bCs/>
        </w:rPr>
        <w:t>III - tombamento;</w:t>
      </w:r>
    </w:p>
    <w:p>
      <w:pPr>
        <w:pStyle w:val="Standard"/>
        <w:spacing w:lineRule="auto" w:line="276"/>
        <w:ind w:left="1701" w:right="0" w:hanging="0"/>
        <w:jc w:val="both"/>
        <w:rPr/>
      </w:pPr>
      <w:r>
        <w:rPr>
          <w:rFonts w:cs="Garamond" w:ascii="Garamond" w:hAnsi="Garamond"/>
          <w:bCs/>
        </w:rPr>
        <w:t xml:space="preserve"> </w:t>
      </w:r>
      <w:r>
        <w:rPr>
          <w:rFonts w:cs="Garamond" w:ascii="Garamond" w:hAnsi="Garamond"/>
          <w:bCs/>
        </w:rPr>
        <w:t xml:space="preserve">IV - vigilância; </w:t>
      </w:r>
    </w:p>
    <w:p>
      <w:pPr>
        <w:pStyle w:val="Standard"/>
        <w:spacing w:lineRule="auto" w:line="276"/>
        <w:ind w:left="1701" w:right="0" w:hanging="0"/>
        <w:jc w:val="both"/>
        <w:rPr/>
      </w:pPr>
      <w:r>
        <w:rPr>
          <w:rFonts w:cs="Garamond" w:ascii="Garamond" w:hAnsi="Garamond"/>
          <w:bCs/>
        </w:rPr>
        <w:t xml:space="preserve">V - desapropriação; </w:t>
      </w:r>
    </w:p>
    <w:p>
      <w:pPr>
        <w:pStyle w:val="Standard"/>
        <w:spacing w:lineRule="auto" w:line="276"/>
        <w:ind w:left="1701" w:right="0" w:hanging="0"/>
        <w:jc w:val="both"/>
        <w:rPr/>
      </w:pPr>
      <w:r>
        <w:rPr>
          <w:rFonts w:cs="Garamond" w:ascii="Garamond" w:hAnsi="Garamond"/>
          <w:bCs/>
        </w:rPr>
        <w:t xml:space="preserve">VI - outras formas de acautelamento e preservação. </w:t>
      </w:r>
    </w:p>
    <w:p>
      <w:pPr>
        <w:pStyle w:val="Standard"/>
        <w:spacing w:lineRule="auto" w:line="276"/>
        <w:ind w:left="1701" w:right="0" w:hanging="0"/>
        <w:jc w:val="both"/>
        <w:rPr/>
      </w:pPr>
      <w:r>
        <w:rPr>
          <w:rFonts w:cs="Garamond" w:ascii="Garamond" w:hAnsi="Garamond"/>
          <w:bCs/>
        </w:rPr>
        <w:t xml:space="preserve">§ 1° - Para a vigilância de seu patrimônio cultural, o Município de Piranga buscará articular-se com as administrações estadual e federal, mediante a aplicação de instrumentos administrativos e legais próprios. 3 </w:t>
      </w:r>
    </w:p>
    <w:p>
      <w:pPr>
        <w:pStyle w:val="Standard"/>
        <w:spacing w:lineRule="auto" w:line="276"/>
        <w:ind w:left="1701" w:right="0" w:hanging="0"/>
        <w:jc w:val="both"/>
        <w:rPr/>
      </w:pPr>
      <w:r>
        <w:rPr>
          <w:rFonts w:cs="Garamond" w:ascii="Garamond" w:hAnsi="Garamond"/>
          <w:bCs/>
        </w:rPr>
        <w:t xml:space="preserve">§ 2° - A desapropriação a que se refere o inciso V do caput deste artigo se dará nos casos e na forma previstos na legislação pertinente. </w:t>
      </w:r>
    </w:p>
    <w:p>
      <w:pPr>
        <w:pStyle w:val="Standard"/>
        <w:spacing w:lineRule="auto" w:line="276"/>
        <w:ind w:left="1701" w:right="0" w:hanging="0"/>
        <w:jc w:val="both"/>
        <w:rPr>
          <w:rFonts w:ascii="Garamond" w:hAnsi="Garamond" w:cs="Garamond"/>
          <w:bCs/>
        </w:rPr>
      </w:pPr>
      <w:r>
        <w:rPr>
          <w:rFonts w:cs="Garamond" w:ascii="Garamond" w:hAnsi="Garamond"/>
          <w:bCs/>
        </w:rPr>
      </w:r>
    </w:p>
    <w:p>
      <w:pPr>
        <w:pStyle w:val="Standard"/>
        <w:spacing w:lineRule="auto" w:line="276"/>
        <w:ind w:left="1701" w:right="0" w:hanging="0"/>
        <w:jc w:val="both"/>
        <w:rPr/>
      </w:pPr>
      <w:r>
        <w:rPr>
          <w:rFonts w:cs="Garamond" w:ascii="Garamond" w:hAnsi="Garamond"/>
          <w:bCs/>
        </w:rPr>
        <w:t xml:space="preserve">Art. 3º - O disposto nesta lei aplica-se aos bens pertencentes às pessoas naturais, bem como às pessoas jurídicas de direito privado e de direito público interno. </w:t>
      </w:r>
    </w:p>
    <w:p>
      <w:pPr>
        <w:pStyle w:val="Standard"/>
        <w:spacing w:lineRule="auto" w:line="276"/>
        <w:ind w:left="1701" w:right="0" w:hanging="0"/>
        <w:jc w:val="both"/>
        <w:rPr>
          <w:rFonts w:ascii="Garamond" w:hAnsi="Garamond" w:cs="Garamond"/>
          <w:bCs/>
        </w:rPr>
      </w:pPr>
      <w:r>
        <w:rPr/>
      </w:r>
    </w:p>
    <w:p>
      <w:pPr>
        <w:pStyle w:val="Standard"/>
        <w:spacing w:lineRule="auto" w:line="276"/>
        <w:ind w:hanging="0"/>
        <w:jc w:val="both"/>
        <w:rPr>
          <w:rFonts w:ascii="Garamond" w:hAnsi="Garamond"/>
          <w:b w:val="false"/>
          <w:b w:val="false"/>
          <w:bCs w:val="false"/>
        </w:rPr>
      </w:pPr>
      <w:r>
        <w:rPr>
          <w:rFonts w:cs="Garamond" w:ascii="Garamond" w:hAnsi="Garamond"/>
          <w:b w:val="false"/>
          <w:bCs w:val="false"/>
        </w:rPr>
        <w:tab/>
        <w:t xml:space="preserve">A cidade de Piranga criou o Fundo Municipal do Patrimônio Cultural através da Lei nº 1345/2008, </w:t>
      </w:r>
      <w:r>
        <w:rPr>
          <w:rFonts w:cs="Garamond" w:ascii="Garamond" w:hAnsi="Garamond"/>
          <w:b w:val="false"/>
          <w:bCs w:val="false"/>
          <w:color w:val="000000"/>
          <w:sz w:val="24"/>
          <w:szCs w:val="24"/>
        </w:rPr>
        <w:t xml:space="preserve">com a finalidade de prestar apoio financeiro, em caráter suplementar, a projetos e ações destinados à promoção, preservação, manutenção e conservação do patrimônio cultural local. </w:t>
      </w:r>
    </w:p>
    <w:p>
      <w:pPr>
        <w:pStyle w:val="Standard"/>
        <w:spacing w:lineRule="auto" w:line="276"/>
        <w:ind w:hanging="0"/>
        <w:jc w:val="both"/>
        <w:rPr>
          <w:rFonts w:ascii="Garamond" w:hAnsi="Garamond"/>
        </w:rPr>
      </w:pPr>
      <w:r>
        <w:rPr>
          <w:rFonts w:cs="Garamond" w:ascii="Garamond" w:hAnsi="Garamond"/>
          <w:b/>
          <w:bCs/>
          <w:color w:val="000000"/>
          <w:sz w:val="24"/>
          <w:szCs w:val="24"/>
        </w:rPr>
        <w:t xml:space="preserve"> </w:t>
      </w:r>
    </w:p>
    <w:p>
      <w:pPr>
        <w:pStyle w:val="Standard"/>
        <w:numPr>
          <w:ilvl w:val="0"/>
          <w:numId w:val="1"/>
        </w:numPr>
        <w:spacing w:lineRule="auto" w:line="276"/>
        <w:ind w:right="68" w:hanging="0"/>
        <w:jc w:val="both"/>
        <w:rPr>
          <w:rFonts w:ascii="Garamond" w:hAnsi="Garamond"/>
        </w:rPr>
      </w:pPr>
      <w:r>
        <w:rPr>
          <w:rFonts w:cs="Garamond" w:ascii="Garamond" w:hAnsi="Garamond"/>
          <w:b/>
          <w:bCs/>
          <w:color w:val="000000"/>
          <w:sz w:val="24"/>
          <w:szCs w:val="24"/>
        </w:rPr>
        <w:t>C</w:t>
      </w:r>
      <w:r>
        <w:rPr>
          <w:rFonts w:cs="Garamond" w:ascii="Garamond" w:hAnsi="Garamond"/>
          <w:b/>
          <w:bCs/>
          <w:color w:val="000000"/>
          <w:sz w:val="24"/>
          <w:szCs w:val="24"/>
        </w:rPr>
        <w:t>onclusão</w:t>
      </w:r>
    </w:p>
    <w:p>
      <w:pPr>
        <w:pStyle w:val="Standard"/>
        <w:spacing w:lineRule="auto" w:line="276"/>
        <w:ind w:hanging="0"/>
        <w:jc w:val="both"/>
        <w:rPr>
          <w:rFonts w:ascii="Garamond" w:hAnsi="Garamond" w:cs="Garamond"/>
          <w:b/>
          <w:b/>
          <w:bCs/>
          <w:color w:val="000000"/>
          <w:sz w:val="24"/>
          <w:szCs w:val="24"/>
        </w:rPr>
      </w:pPr>
      <w:r>
        <w:rPr>
          <w:rFonts w:ascii="Garamond" w:hAnsi="Garamond"/>
        </w:rPr>
      </w:r>
    </w:p>
    <w:p>
      <w:pPr>
        <w:pStyle w:val="Standard"/>
        <w:spacing w:lineRule="auto" w:line="276"/>
        <w:ind w:right="68" w:hanging="0"/>
        <w:jc w:val="both"/>
        <w:rPr>
          <w:rFonts w:ascii="Garamond" w:hAnsi="Garamond"/>
        </w:rPr>
      </w:pPr>
      <w:r>
        <w:rPr>
          <w:rFonts w:cs="Garamond" w:ascii="Garamond" w:hAnsi="Garamond"/>
          <w:b w:val="false"/>
          <w:bCs w:val="false"/>
          <w:color w:val="000000"/>
          <w:sz w:val="24"/>
          <w:szCs w:val="24"/>
        </w:rPr>
        <w:tab/>
        <w:t>A edificação da rua São Sebastião nº 2 / 6, conhecido como Casarão Cônego Felício, possui valor cultural reconhecido pelo município quando da realização do inventário do conjunto da Praça Cônego Felício, onde se insere o casarão, no ano de 2003 e ao realizar seu tombamento individual através do Decreto nº 2023/2012</w:t>
      </w:r>
      <w:r>
        <w:rPr>
          <w:rStyle w:val="Ncoradanotaderodap"/>
          <w:rStyle w:val="Ncoradanotaderodap"/>
          <w:rFonts w:cs="Garamond" w:ascii="Garamond" w:hAnsi="Garamond"/>
          <w:b w:val="false"/>
          <w:bCs w:val="false"/>
          <w:color w:val="000000"/>
          <w:sz w:val="24"/>
          <w:szCs w:val="24"/>
        </w:rPr>
        <w:footnoteReference w:id="5"/>
      </w:r>
      <w:r>
        <w:rPr>
          <w:rFonts w:cs="Garamond" w:ascii="Garamond" w:hAnsi="Garamond"/>
          <w:b w:val="false"/>
          <w:bCs w:val="false"/>
          <w:color w:val="000000"/>
          <w:sz w:val="24"/>
          <w:szCs w:val="24"/>
        </w:rPr>
        <w:t xml:space="preserve"> por seus valores históricos, culturais e arquitetônicos. </w:t>
      </w:r>
    </w:p>
    <w:p>
      <w:pPr>
        <w:pStyle w:val="Standard"/>
        <w:spacing w:lineRule="auto" w:line="276"/>
        <w:ind w:right="68" w:hanging="0"/>
        <w:jc w:val="both"/>
        <w:rPr>
          <w:rFonts w:cs="Garamond"/>
          <w:b w:val="false"/>
          <w:b w:val="false"/>
          <w:bCs w:val="false"/>
          <w:color w:val="000000"/>
          <w:sz w:val="24"/>
          <w:szCs w:val="24"/>
        </w:rPr>
      </w:pPr>
      <w:r>
        <w:rPr>
          <w:rFonts w:ascii="Garamond" w:hAnsi="Garamond"/>
        </w:rPr>
      </w:r>
    </w:p>
    <w:p>
      <w:pPr>
        <w:pStyle w:val="Standard"/>
        <w:spacing w:lineRule="auto" w:line="276"/>
        <w:ind w:right="68" w:hanging="0"/>
        <w:jc w:val="both"/>
        <w:rPr>
          <w:rFonts w:ascii="Garamond" w:hAnsi="Garamond"/>
        </w:rPr>
      </w:pPr>
      <w:r>
        <w:rPr>
          <w:rFonts w:cs="Garamond" w:ascii="Garamond" w:hAnsi="Garamond"/>
          <w:b w:val="false"/>
          <w:bCs w:val="false"/>
          <w:color w:val="000000"/>
          <w:sz w:val="24"/>
          <w:szCs w:val="24"/>
        </w:rPr>
        <w:tab/>
        <w:t xml:space="preserve">O imóvel foi desapropriado através do Decreto nº 1884 de 12 de abril de 2011 para instalação da Casa de Cultura do município de Piranga. Entretanto, até a presente data, a Casa de Cultura não foi implantada e o imóvel encontra-se em avançado estado de degradação, totalmente sem uso. </w:t>
      </w:r>
    </w:p>
    <w:p>
      <w:pPr>
        <w:pStyle w:val="Standard"/>
        <w:spacing w:lineRule="auto" w:line="276"/>
        <w:ind w:right="68" w:hanging="0"/>
        <w:jc w:val="both"/>
        <w:rPr>
          <w:rFonts w:cs="Garamond"/>
          <w:b w:val="false"/>
          <w:b w:val="false"/>
          <w:bCs w:val="false"/>
          <w:color w:val="000000"/>
          <w:sz w:val="24"/>
          <w:szCs w:val="24"/>
        </w:rPr>
      </w:pPr>
      <w:r>
        <w:rPr>
          <w:rFonts w:ascii="Garamond" w:hAnsi="Garamond"/>
        </w:rPr>
      </w:r>
    </w:p>
    <w:p>
      <w:pPr>
        <w:pStyle w:val="Normal"/>
        <w:widowControl/>
        <w:spacing w:lineRule="auto" w:line="276" w:before="0" w:after="0"/>
        <w:ind w:firstLine="720"/>
        <w:jc w:val="both"/>
        <w:textAlignment w:val="auto"/>
        <w:rPr/>
      </w:pPr>
      <w:r>
        <w:rPr>
          <w:rFonts w:cs="Times New Roman" w:ascii="Garamond" w:hAnsi="Garamond"/>
          <w:kern w:val="2"/>
          <w:sz w:val="24"/>
          <w:szCs w:val="24"/>
          <w:lang w:eastAsia="ar-SA"/>
        </w:rPr>
        <w:t xml:space="preserve">Apesar do estado de abandono e do precário estado de conservação, o imóvel mantém suas características estético-formais preservadas e não há indícios de grandes intervenções descaracterizantes no decorrer dos anos, especialmente nas suas fachadas. O bem cultural sofre com o processo de degradação, sendo </w:t>
      </w:r>
      <w:r>
        <w:rPr>
          <w:rFonts w:cs="Times New Roman" w:ascii="Garamond" w:hAnsi="Garamond"/>
          <w:kern w:val="2"/>
          <w:sz w:val="24"/>
          <w:szCs w:val="24"/>
          <w:u w:val="single"/>
          <w:lang w:eastAsia="ar-SA"/>
        </w:rPr>
        <w:t>urgente sua restauração</w:t>
      </w:r>
      <w:r>
        <w:rPr>
          <w:rStyle w:val="Ncoradanotaderodap"/>
          <w:rStyle w:val="Ncoradanotaderodap"/>
          <w:rFonts w:cs="Times New Roman" w:ascii="Garamond" w:hAnsi="Garamond"/>
          <w:kern w:val="2"/>
          <w:sz w:val="24"/>
          <w:szCs w:val="24"/>
          <w:u w:val="single"/>
          <w:vertAlign w:val="superscript"/>
          <w:lang w:eastAsia="ar-SA"/>
        </w:rPr>
        <w:footnoteReference w:id="6"/>
      </w:r>
      <w:r>
        <w:rPr>
          <w:rFonts w:cs="Times New Roman" w:ascii="Garamond" w:hAnsi="Garamond"/>
          <w:kern w:val="2"/>
          <w:sz w:val="24"/>
          <w:szCs w:val="24"/>
          <w:u w:val="single"/>
          <w:lang w:eastAsia="ar-SA"/>
        </w:rPr>
        <w:t>.</w:t>
      </w:r>
      <w:r>
        <w:rPr>
          <w:rFonts w:cs="Times New Roman" w:ascii="Garamond" w:hAnsi="Garamond"/>
          <w:kern w:val="2"/>
          <w:sz w:val="24"/>
          <w:szCs w:val="24"/>
          <w:lang w:eastAsia="ar-SA"/>
        </w:rPr>
        <w:t xml:space="preserve"> </w:t>
      </w:r>
      <w:r>
        <w:rPr>
          <w:rFonts w:cs="Times New Roman" w:ascii="Garamond" w:hAnsi="Garamond"/>
          <w:kern w:val="2"/>
          <w:sz w:val="24"/>
          <w:szCs w:val="24"/>
          <w:u w:val="single"/>
          <w:lang w:eastAsia="ar-SA"/>
        </w:rPr>
        <w:t xml:space="preserve">Assim, é urgente a elaboração e execução de um projeto de restauração completo da edificação por profissional habilitado, com acompanhamento, nas duas etapas, do órgão de proteção municipal competente. </w:t>
      </w:r>
    </w:p>
    <w:p>
      <w:pPr>
        <w:pStyle w:val="Normal"/>
        <w:widowControl/>
        <w:spacing w:lineRule="auto" w:line="276" w:before="0" w:after="0"/>
        <w:ind w:firstLine="720"/>
        <w:jc w:val="both"/>
        <w:textAlignment w:val="auto"/>
        <w:rPr>
          <w:rFonts w:ascii="Garamond" w:hAnsi="Garamond" w:cs="Times New Roman"/>
          <w:kern w:val="2"/>
          <w:sz w:val="24"/>
          <w:szCs w:val="24"/>
          <w:u w:val="single"/>
          <w:lang w:eastAsia="ar-SA"/>
        </w:rPr>
      </w:pPr>
      <w:r>
        <w:rPr>
          <w:rFonts w:cs="Times New Roman" w:ascii="Garamond" w:hAnsi="Garamond"/>
          <w:kern w:val="2"/>
          <w:sz w:val="24"/>
          <w:szCs w:val="24"/>
          <w:u w:val="single"/>
          <w:lang w:eastAsia="ar-SA"/>
        </w:rPr>
      </w:r>
    </w:p>
    <w:p>
      <w:pPr>
        <w:pStyle w:val="Normal"/>
        <w:widowControl/>
        <w:spacing w:lineRule="auto" w:line="276" w:before="0" w:after="0"/>
        <w:ind w:firstLine="720"/>
        <w:jc w:val="both"/>
        <w:textAlignment w:val="auto"/>
        <w:rPr/>
      </w:pPr>
      <w:r>
        <w:rPr>
          <w:rStyle w:val="H1"/>
          <w:rFonts w:eastAsia="Times New Roman" w:cs="Times New Roman" w:ascii="Garamond" w:hAnsi="Garamond"/>
          <w:b w:val="false"/>
          <w:bCs w:val="false"/>
          <w:kern w:val="2"/>
          <w:sz w:val="24"/>
          <w:szCs w:val="24"/>
          <w:u w:val="single"/>
          <w:shd w:fill="FFFFFF" w:val="clear"/>
          <w:lang w:eastAsia="ar-SA"/>
        </w:rPr>
        <w:t xml:space="preserve">Até que o projeto de restauro seja elaborado, aprovado e iniciem as obras de restauração, é necessária a realização de medidas emergenciais no imóvel </w:t>
      </w:r>
      <w:r>
        <w:rPr>
          <w:rStyle w:val="H1"/>
          <w:rFonts w:eastAsia="Times New Roman" w:cs="Garamond" w:ascii="Garamond" w:hAnsi="Garamond"/>
          <w:b w:val="false"/>
          <w:bCs w:val="false"/>
          <w:kern w:val="2"/>
          <w:sz w:val="24"/>
          <w:szCs w:val="24"/>
          <w:u w:val="single"/>
          <w:shd w:fill="FFFFFF" w:val="clear"/>
          <w:lang w:eastAsia="zh-CN"/>
        </w:rPr>
        <w:t>para prevenir novos danos. Recomenda-se:</w:t>
      </w:r>
    </w:p>
    <w:p>
      <w:pPr>
        <w:pStyle w:val="Normal"/>
        <w:spacing w:lineRule="auto" w:line="276"/>
        <w:ind w:firstLine="708"/>
        <w:jc w:val="both"/>
        <w:rPr>
          <w:rStyle w:val="H1"/>
          <w:rFonts w:ascii="Garamond" w:hAnsi="Garamond" w:eastAsia="Times New Roman" w:cs="Garamond"/>
          <w:b w:val="false"/>
          <w:b w:val="false"/>
          <w:bCs w:val="false"/>
          <w:sz w:val="24"/>
          <w:szCs w:val="24"/>
          <w:highlight w:val="white"/>
          <w:lang w:eastAsia="zh-CN"/>
        </w:rPr>
      </w:pPr>
      <w:r>
        <w:rPr/>
      </w:r>
    </w:p>
    <w:p>
      <w:pPr>
        <w:pStyle w:val="Normal"/>
        <w:numPr>
          <w:ilvl w:val="0"/>
          <w:numId w:val="3"/>
        </w:numPr>
        <w:suppressLineNumbers/>
        <w:spacing w:lineRule="auto" w:line="276" w:before="0" w:after="0"/>
        <w:jc w:val="both"/>
        <w:rPr>
          <w:rFonts w:ascii="Garamond" w:hAnsi="Garamond" w:cs="Mangal"/>
          <w:sz w:val="24"/>
        </w:rPr>
      </w:pPr>
      <w:r>
        <w:rPr>
          <w:rFonts w:eastAsia="SimSun" w:cs="Mangal" w:ascii="Garamond" w:hAnsi="Garamond"/>
          <w:color w:val="auto"/>
          <w:kern w:val="2"/>
          <w:sz w:val="24"/>
          <w:szCs w:val="24"/>
          <w:lang w:val="pt-BR" w:eastAsia="zh-CN" w:bidi="hi-IN"/>
        </w:rPr>
        <w:t>A capina da área no entorno e a limpeza interna do imóvel. É importante lembrar que na limpeza do imóvel deverão ser separados os elementos originais existentes passíveis de serem reaproveitados na restauração do imóvel, que devem ser</w:t>
      </w:r>
      <w:r>
        <w:rPr>
          <w:rFonts w:eastAsia="SimSun" w:cs="Mangal" w:ascii="Garamond" w:hAnsi="Garamond"/>
          <w:color w:val="auto"/>
          <w:kern w:val="2"/>
          <w:sz w:val="24"/>
          <w:szCs w:val="24"/>
          <w:lang w:val="pt-BR" w:eastAsia="zh-CN" w:bidi="hi-IN"/>
        </w:rPr>
        <w:t xml:space="preserve"> </w:t>
      </w:r>
      <w:r>
        <w:rPr>
          <w:rFonts w:eastAsia="SimSun" w:cs="Mangal" w:ascii="Garamond" w:hAnsi="Garamond"/>
          <w:color w:val="auto"/>
          <w:kern w:val="2"/>
          <w:sz w:val="24"/>
          <w:szCs w:val="24"/>
          <w:lang w:val="pt-BR" w:eastAsia="zh-CN" w:bidi="hi-IN"/>
        </w:rPr>
        <w:t>armazenados em local apropriado.</w:t>
      </w:r>
    </w:p>
    <w:p>
      <w:pPr>
        <w:pStyle w:val="Normal"/>
        <w:numPr>
          <w:ilvl w:val="0"/>
          <w:numId w:val="0"/>
        </w:numPr>
        <w:suppressLineNumbers/>
        <w:spacing w:lineRule="auto" w:line="276" w:before="0" w:after="0"/>
        <w:ind w:left="720" w:hanging="0"/>
        <w:jc w:val="both"/>
        <w:rPr>
          <w:rFonts w:ascii="Garamond" w:hAnsi="Garamond" w:eastAsia="SimSun" w:cs="Mangal"/>
          <w:color w:val="auto"/>
          <w:kern w:val="2"/>
          <w:sz w:val="24"/>
          <w:szCs w:val="24"/>
          <w:lang w:val="pt-BR" w:eastAsia="zh-CN" w:bidi="hi-IN"/>
        </w:rPr>
      </w:pPr>
      <w:r>
        <w:rPr>
          <w:rFonts w:eastAsia="SimSun" w:cs="Mangal" w:ascii="Garamond" w:hAnsi="Garamond"/>
          <w:color w:val="auto"/>
          <w:kern w:val="2"/>
          <w:sz w:val="24"/>
          <w:szCs w:val="24"/>
          <w:lang w:val="pt-BR" w:eastAsia="zh-CN" w:bidi="hi-IN"/>
        </w:rPr>
      </w:r>
    </w:p>
    <w:p>
      <w:pPr>
        <w:pStyle w:val="Normal"/>
        <w:numPr>
          <w:ilvl w:val="0"/>
          <w:numId w:val="3"/>
        </w:numPr>
        <w:suppressLineNumbers/>
        <w:spacing w:lineRule="auto" w:line="276" w:before="0" w:after="0"/>
        <w:jc w:val="both"/>
        <w:rPr>
          <w:rFonts w:ascii="Garamond" w:hAnsi="Garamond" w:eastAsia="SimSun" w:cs="Mangal"/>
          <w:color w:val="auto"/>
          <w:kern w:val="2"/>
          <w:sz w:val="24"/>
          <w:szCs w:val="24"/>
          <w:lang w:val="pt-BR" w:eastAsia="zh-CN" w:bidi="hi-IN"/>
        </w:rPr>
      </w:pPr>
      <w:r>
        <w:rPr>
          <w:rFonts w:eastAsia="SimSun" w:cs="Mangal" w:ascii="Garamond" w:hAnsi="Garamond"/>
          <w:color w:val="auto"/>
          <w:kern w:val="2"/>
          <w:sz w:val="24"/>
          <w:szCs w:val="24"/>
          <w:lang w:val="pt-BR" w:eastAsia="zh-CN" w:bidi="hi-IN"/>
        </w:rPr>
        <w:t xml:space="preserve">Deverá haver o desligamento da energia </w:t>
      </w:r>
      <w:r>
        <w:rPr>
          <w:rFonts w:eastAsia="SimSun" w:cs="Mangal" w:ascii="Garamond" w:hAnsi="Garamond"/>
          <w:color w:val="auto"/>
          <w:kern w:val="2"/>
          <w:sz w:val="24"/>
          <w:szCs w:val="24"/>
          <w:lang w:val="pt-BR" w:eastAsia="zh-CN" w:bidi="hi-IN"/>
        </w:rPr>
        <w:t xml:space="preserve">elétrica </w:t>
      </w:r>
      <w:r>
        <w:rPr>
          <w:rFonts w:eastAsia="SimSun" w:cs="Mangal" w:ascii="Garamond" w:hAnsi="Garamond"/>
          <w:color w:val="auto"/>
          <w:kern w:val="2"/>
          <w:sz w:val="24"/>
          <w:szCs w:val="24"/>
          <w:lang w:val="pt-BR" w:eastAsia="zh-CN" w:bidi="hi-IN"/>
        </w:rPr>
        <w:t xml:space="preserve">para evitar </w:t>
      </w:r>
      <w:r>
        <w:rPr>
          <w:rFonts w:eastAsia="SimSun" w:cs="Mangal" w:ascii="Garamond" w:hAnsi="Garamond"/>
          <w:color w:val="auto"/>
          <w:kern w:val="2"/>
          <w:sz w:val="24"/>
          <w:szCs w:val="24"/>
          <w:lang w:val="pt-BR" w:eastAsia="zh-CN" w:bidi="hi-IN"/>
        </w:rPr>
        <w:t>curtos-circuitos</w:t>
      </w:r>
      <w:r>
        <w:rPr>
          <w:rFonts w:eastAsia="SimSun" w:cs="Mangal" w:ascii="Garamond" w:hAnsi="Garamond"/>
          <w:color w:val="auto"/>
          <w:kern w:val="2"/>
          <w:sz w:val="24"/>
          <w:szCs w:val="24"/>
          <w:lang w:val="pt-BR" w:eastAsia="zh-CN" w:bidi="hi-IN"/>
        </w:rPr>
        <w:t xml:space="preserve"> e incêndios.</w:t>
      </w:r>
    </w:p>
    <w:p>
      <w:pPr>
        <w:pStyle w:val="Normal"/>
        <w:numPr>
          <w:ilvl w:val="0"/>
          <w:numId w:val="0"/>
        </w:numPr>
        <w:suppressLineNumbers/>
        <w:spacing w:lineRule="auto" w:line="276" w:before="0" w:after="0"/>
        <w:ind w:left="720" w:hanging="0"/>
        <w:jc w:val="both"/>
        <w:rPr>
          <w:rFonts w:ascii="Garamond" w:hAnsi="Garamond" w:eastAsia="SimSun" w:cs="Mangal"/>
          <w:color w:val="auto"/>
          <w:kern w:val="2"/>
          <w:sz w:val="24"/>
          <w:szCs w:val="24"/>
          <w:lang w:val="pt-BR" w:eastAsia="zh-CN" w:bidi="hi-IN"/>
        </w:rPr>
      </w:pPr>
      <w:r>
        <w:rPr>
          <w:rFonts w:eastAsia="SimSun" w:cs="Mangal" w:ascii="Garamond" w:hAnsi="Garamond"/>
          <w:color w:val="auto"/>
          <w:kern w:val="2"/>
          <w:sz w:val="24"/>
          <w:szCs w:val="24"/>
          <w:lang w:val="pt-BR" w:eastAsia="zh-CN" w:bidi="hi-IN"/>
        </w:rPr>
      </w:r>
    </w:p>
    <w:p>
      <w:pPr>
        <w:pStyle w:val="Normal"/>
        <w:numPr>
          <w:ilvl w:val="0"/>
          <w:numId w:val="3"/>
        </w:numPr>
        <w:suppressLineNumbers/>
        <w:spacing w:lineRule="auto" w:line="276" w:before="0" w:after="0"/>
        <w:jc w:val="both"/>
        <w:rPr>
          <w:rFonts w:ascii="Garamond" w:hAnsi="Garamond" w:eastAsia="SimSun" w:cs="Mangal"/>
          <w:color w:val="auto"/>
          <w:kern w:val="2"/>
          <w:sz w:val="24"/>
          <w:szCs w:val="24"/>
          <w:lang w:val="pt-BR" w:eastAsia="zh-CN" w:bidi="hi-IN"/>
        </w:rPr>
      </w:pPr>
      <w:r>
        <w:rPr>
          <w:rFonts w:eastAsia="SimSun" w:cs="Mangal" w:ascii="Garamond" w:hAnsi="Garamond"/>
          <w:color w:val="auto"/>
          <w:kern w:val="2"/>
          <w:sz w:val="24"/>
          <w:szCs w:val="24"/>
          <w:lang w:val="pt-BR" w:eastAsia="zh-CN" w:bidi="hi-IN"/>
        </w:rPr>
        <w:t xml:space="preserve">Esvaziamento da caixa d'água para evitar sobrepeso na estrutura. </w:t>
      </w:r>
    </w:p>
    <w:p>
      <w:pPr>
        <w:pStyle w:val="Normal"/>
        <w:numPr>
          <w:ilvl w:val="0"/>
          <w:numId w:val="0"/>
        </w:numPr>
        <w:suppressLineNumbers/>
        <w:spacing w:lineRule="auto" w:line="276" w:before="0" w:after="0"/>
        <w:ind w:left="720" w:hanging="0"/>
        <w:jc w:val="both"/>
        <w:rPr>
          <w:rFonts w:ascii="Garamond" w:hAnsi="Garamond" w:eastAsia="SimSun" w:cs="Mangal"/>
          <w:color w:val="auto"/>
          <w:kern w:val="2"/>
          <w:sz w:val="24"/>
          <w:szCs w:val="24"/>
          <w:lang w:val="pt-BR" w:eastAsia="zh-CN" w:bidi="hi-IN"/>
        </w:rPr>
      </w:pPr>
      <w:r>
        <w:rPr>
          <w:rFonts w:eastAsia="SimSun" w:cs="Mangal" w:ascii="Garamond" w:hAnsi="Garamond"/>
          <w:color w:val="auto"/>
          <w:kern w:val="2"/>
          <w:sz w:val="24"/>
          <w:szCs w:val="24"/>
          <w:lang w:val="pt-BR" w:eastAsia="zh-CN" w:bidi="hi-IN"/>
        </w:rPr>
      </w:r>
    </w:p>
    <w:p>
      <w:pPr>
        <w:pStyle w:val="Normal"/>
        <w:widowControl/>
        <w:numPr>
          <w:ilvl w:val="0"/>
          <w:numId w:val="3"/>
        </w:numPr>
        <w:spacing w:lineRule="auto" w:line="276" w:before="0" w:after="0"/>
        <w:jc w:val="both"/>
        <w:rPr/>
      </w:pPr>
      <w:r>
        <w:rPr>
          <w:rFonts w:eastAsia="Times New Roman" w:cs="Garamond" w:ascii="Garamond" w:hAnsi="Garamond"/>
          <w:sz w:val="24"/>
          <w:szCs w:val="24"/>
          <w:lang w:eastAsia="zh-CN"/>
        </w:rPr>
        <w:t>Especialista em estruturas deverá avaliar a necessidade de se escorar as alvenarias da edificação. Caso necessário, o escoramento deverá ser executado por especialista com acompanhamento do COMPAC</w:t>
      </w:r>
      <w:r>
        <w:rPr>
          <w:rFonts w:eastAsia="Times New Roman" w:cs="Garamond" w:ascii="Garamond" w:hAnsi="Garamond"/>
          <w:sz w:val="24"/>
          <w:szCs w:val="24"/>
          <w:lang w:eastAsia="zh-CN"/>
        </w:rPr>
        <w:t>.</w:t>
      </w:r>
    </w:p>
    <w:p>
      <w:pPr>
        <w:pStyle w:val="Normal"/>
        <w:widowControl/>
        <w:numPr>
          <w:ilvl w:val="0"/>
          <w:numId w:val="0"/>
        </w:numPr>
        <w:spacing w:lineRule="auto" w:line="276" w:before="0" w:after="0"/>
        <w:ind w:left="720"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numPr>
          <w:ilvl w:val="0"/>
          <w:numId w:val="3"/>
        </w:numPr>
        <w:spacing w:lineRule="auto" w:line="276" w:before="0" w:after="0"/>
        <w:jc w:val="both"/>
        <w:rPr/>
      </w:pPr>
      <w:r>
        <w:rPr>
          <w:rFonts w:eastAsia="Times New Roman" w:cs="Garamond" w:ascii="Garamond" w:hAnsi="Garamond"/>
          <w:sz w:val="24"/>
          <w:szCs w:val="24"/>
          <w:lang w:eastAsia="zh-CN"/>
        </w:rPr>
        <w:t>Especialista em estrutura deverá avaliar as condições estruturais do imóvel, prevendo reforços, caso necessário, preferencialmente na área interna da edificação, para receber novos elementos da cobertura.</w:t>
      </w:r>
    </w:p>
    <w:p>
      <w:pPr>
        <w:pStyle w:val="Normal"/>
        <w:widowControl/>
        <w:numPr>
          <w:ilvl w:val="0"/>
          <w:numId w:val="0"/>
        </w:numPr>
        <w:spacing w:lineRule="auto" w:line="276" w:before="0" w:after="0"/>
        <w:ind w:left="720" w:hanging="0"/>
        <w:jc w:val="both"/>
        <w:rPr>
          <w:rFonts w:ascii="Garamond" w:hAnsi="Garamond" w:eastAsia="Times New Roman" w:cs="Garamond"/>
          <w:sz w:val="24"/>
          <w:szCs w:val="24"/>
          <w:lang w:eastAsia="zh-CN"/>
        </w:rPr>
      </w:pPr>
      <w:r>
        <w:rPr>
          <w:rFonts w:eastAsia="Times New Roman" w:cs="Garamond" w:ascii="Garamond" w:hAnsi="Garamond"/>
          <w:sz w:val="24"/>
          <w:szCs w:val="24"/>
          <w:lang w:eastAsia="zh-CN"/>
        </w:rPr>
      </w:r>
    </w:p>
    <w:p>
      <w:pPr>
        <w:pStyle w:val="Normal"/>
        <w:widowControl/>
        <w:numPr>
          <w:ilvl w:val="0"/>
          <w:numId w:val="3"/>
        </w:numPr>
        <w:suppressLineNumbers/>
        <w:tabs>
          <w:tab w:val="left" w:pos="360" w:leader="none"/>
          <w:tab w:val="left" w:pos="1440" w:leader="none"/>
        </w:tabs>
        <w:spacing w:lineRule="auto" w:line="276" w:before="0" w:after="0"/>
        <w:jc w:val="both"/>
        <w:rPr>
          <w:rFonts w:ascii="Garamond" w:hAnsi="Garamond" w:eastAsia="SimSun" w:cs="Mangal"/>
          <w:color w:val="auto"/>
          <w:kern w:val="2"/>
          <w:sz w:val="24"/>
          <w:szCs w:val="24"/>
          <w:lang w:val="pt-BR" w:eastAsia="zh-CN" w:bidi="hi-IN"/>
        </w:rPr>
      </w:pPr>
      <w:r>
        <w:rPr>
          <w:rFonts w:eastAsia="Times New Roman" w:cs="Garamond" w:ascii="Garamond" w:hAnsi="Garamond"/>
          <w:color w:val="auto"/>
          <w:kern w:val="2"/>
          <w:sz w:val="24"/>
          <w:szCs w:val="24"/>
          <w:lang w:val="pt-BR" w:eastAsia="zh-CN" w:bidi="hi-IN"/>
        </w:rPr>
        <w:t xml:space="preserve">Revisão completa da cobertura, com substituição das madeiras comprometidas e telhas danificadas. Deverão ser respeitadas as características originais como tipo de telhas, inclinação, beirais, números de águas, etc. Os elementos de drenagem de água pluvial que estiverem danificados deverão ser substituídos. Recomenda-se a amarração das telhas ou embocamento de algumas fiadas para evitar novos deslocamentos. </w:t>
      </w:r>
    </w:p>
    <w:p>
      <w:pPr>
        <w:pStyle w:val="Recuodecorpodetexto3"/>
        <w:widowControl/>
        <w:numPr>
          <w:ilvl w:val="0"/>
          <w:numId w:val="3"/>
        </w:numPr>
        <w:bidi w:val="0"/>
        <w:spacing w:lineRule="auto" w:line="276" w:before="0" w:after="0"/>
        <w:jc w:val="both"/>
        <w:rPr/>
      </w:pPr>
      <w:r>
        <w:rPr>
          <w:rFonts w:eastAsia="Times New Roman" w:cs="Garamond" w:ascii="Garamond" w:hAnsi="Garamond"/>
          <w:sz w:val="24"/>
          <w:szCs w:val="24"/>
          <w:lang w:eastAsia="zh-CN"/>
        </w:rPr>
        <w:t>Proteção das alvenarias</w:t>
      </w:r>
      <w:r>
        <w:rPr>
          <w:rFonts w:eastAsia="Times New Roman" w:cs="Garamond" w:ascii="Garamond" w:hAnsi="Garamond"/>
          <w:sz w:val="24"/>
          <w:szCs w:val="24"/>
          <w:lang w:eastAsia="zh-CN"/>
        </w:rPr>
        <w:t xml:space="preserve"> </w:t>
      </w:r>
      <w:r>
        <w:rPr>
          <w:rFonts w:eastAsia="Times New Roman" w:cs="Garamond" w:ascii="Garamond" w:hAnsi="Garamond"/>
          <w:sz w:val="24"/>
          <w:szCs w:val="24"/>
          <w:lang w:eastAsia="zh-CN"/>
        </w:rPr>
        <w:t xml:space="preserve">que encontram-se expostas e em processo de desprendimento e perda de enchimento. Deve-se evitar a lona que tem pouca durabilidade e resistência. Recomenda-se a utilização de madeirite nos dois lados das alvenarias. </w:t>
      </w:r>
    </w:p>
    <w:p>
      <w:pPr>
        <w:pStyle w:val="Recuodecorpodetexto3"/>
        <w:widowControl/>
        <w:numPr>
          <w:ilvl w:val="0"/>
          <w:numId w:val="3"/>
        </w:numPr>
        <w:bidi w:val="0"/>
        <w:spacing w:lineRule="auto" w:line="276" w:before="0" w:after="0"/>
        <w:jc w:val="both"/>
        <w:rPr/>
      </w:pPr>
      <w:r>
        <w:rPr>
          <w:rFonts w:eastAsia="Times New Roman" w:cs="Garamond" w:ascii="Garamond" w:hAnsi="Garamond"/>
          <w:sz w:val="24"/>
          <w:szCs w:val="24"/>
          <w:lang w:eastAsia="zh-CN"/>
        </w:rPr>
        <w:t>Manter as esquadrias fechadas para proteger o imóvel da ação das intempéries.</w:t>
      </w:r>
    </w:p>
    <w:p>
      <w:pPr>
        <w:pStyle w:val="Recuodecorpodetexto3"/>
        <w:widowControl/>
        <w:numPr>
          <w:ilvl w:val="0"/>
          <w:numId w:val="0"/>
        </w:numPr>
        <w:bidi w:val="0"/>
        <w:spacing w:lineRule="auto" w:line="276" w:before="0" w:after="0"/>
        <w:ind w:left="960" w:right="0" w:hanging="0"/>
        <w:jc w:val="both"/>
        <w:rPr>
          <w:rFonts w:ascii="Garamond" w:hAnsi="Garamond" w:eastAsia="Times New Roman" w:cs="Garamond"/>
          <w:sz w:val="24"/>
          <w:szCs w:val="24"/>
          <w:lang w:eastAsia="zh-CN"/>
        </w:rPr>
      </w:pPr>
      <w:r>
        <w:rPr/>
      </w:r>
    </w:p>
    <w:p>
      <w:pPr>
        <w:pStyle w:val="Recuodecorpodetexto3"/>
        <w:widowControl/>
        <w:numPr>
          <w:ilvl w:val="0"/>
          <w:numId w:val="3"/>
        </w:numPr>
        <w:bidi w:val="0"/>
        <w:spacing w:lineRule="auto" w:line="276" w:before="0" w:after="0"/>
        <w:jc w:val="both"/>
        <w:rPr/>
      </w:pPr>
      <w:r>
        <w:rPr>
          <w:rFonts w:eastAsia="Times New Roman" w:cs="Garamond" w:ascii="Garamond" w:hAnsi="Garamond"/>
          <w:sz w:val="24"/>
          <w:szCs w:val="24"/>
          <w:lang w:eastAsia="zh-CN"/>
        </w:rPr>
        <w:t xml:space="preserve">Devem ser previstas visitas semanais ao imóvel para promover a limpeza e ventilação. </w:t>
      </w:r>
    </w:p>
    <w:p>
      <w:pPr>
        <w:pStyle w:val="Normal"/>
        <w:numPr>
          <w:ilvl w:val="0"/>
          <w:numId w:val="0"/>
        </w:numPr>
        <w:suppressLineNumbers/>
        <w:tabs>
          <w:tab w:val="left" w:pos="360" w:leader="none"/>
          <w:tab w:val="left" w:pos="1440" w:leader="none"/>
        </w:tabs>
        <w:spacing w:lineRule="auto" w:line="276" w:before="0" w:after="0"/>
        <w:ind w:left="720" w:right="0" w:hanging="0"/>
        <w:jc w:val="both"/>
        <w:rPr>
          <w:rFonts w:ascii="Garamond" w:hAnsi="Garamond"/>
        </w:rPr>
      </w:pPr>
      <w:r>
        <w:rPr>
          <w:rFonts w:ascii="Garamond" w:hAnsi="Garamond"/>
        </w:rPr>
      </w:r>
    </w:p>
    <w:p>
      <w:pPr>
        <w:pStyle w:val="Normal"/>
        <w:bidi w:val="0"/>
        <w:spacing w:lineRule="auto" w:line="276"/>
        <w:ind w:left="0" w:right="0" w:hanging="0"/>
        <w:jc w:val="both"/>
        <w:rPr/>
      </w:pPr>
      <w:r>
        <w:rPr>
          <w:rFonts w:cs="Garamond" w:ascii="Garamond" w:hAnsi="Garamond"/>
          <w:b w:val="false"/>
          <w:bCs w:val="false"/>
        </w:rPr>
        <w:tab/>
      </w:r>
      <w:r>
        <w:rPr>
          <w:rFonts w:eastAsia="SimSun" w:cs="Times New Roman" w:ascii="Garamond" w:hAnsi="Garamond"/>
          <w:color w:val="auto"/>
          <w:kern w:val="2"/>
          <w:sz w:val="24"/>
          <w:szCs w:val="24"/>
          <w:u w:val="none"/>
          <w:lang w:val="pt-BR" w:eastAsia="ar-SA" w:bidi="hi-IN"/>
        </w:rPr>
        <w:t xml:space="preserve">Como o próprio nome diz, estas medidas são emergenciais, ou seja, somente devem permanecer no imóvel enquanto as obras de restauro não se iniciam. As obras, por sua vez, deverão iniciar no menor prazo de tempo possível, após os trâmites e aprovações necessários, tendo em vista que, ao longo do tempo, novos danos podem ocorrer no imóvel, dificultando e tornando mais oneroso o processo de restauração. </w:t>
      </w:r>
    </w:p>
    <w:p>
      <w:pPr>
        <w:pStyle w:val="Normal"/>
        <w:numPr>
          <w:ilvl w:val="0"/>
          <w:numId w:val="0"/>
        </w:numPr>
        <w:suppressLineNumbers/>
        <w:tabs>
          <w:tab w:val="left" w:pos="360" w:leader="none"/>
          <w:tab w:val="left" w:pos="1440" w:leader="none"/>
        </w:tabs>
        <w:spacing w:lineRule="auto" w:line="276" w:before="0" w:after="0"/>
        <w:ind w:left="720" w:right="0" w:hanging="0"/>
        <w:jc w:val="both"/>
        <w:rPr>
          <w:rFonts w:ascii="Garamond" w:hAnsi="Garamond"/>
        </w:rPr>
      </w:pPr>
      <w:r>
        <w:rPr>
          <w:rFonts w:ascii="Garamond" w:hAnsi="Garamond"/>
        </w:rPr>
      </w:r>
    </w:p>
    <w:p>
      <w:pPr>
        <w:pStyle w:val="Normal"/>
        <w:bidi w:val="0"/>
        <w:spacing w:lineRule="auto" w:line="276"/>
        <w:ind w:left="0" w:right="0" w:hanging="0"/>
        <w:jc w:val="both"/>
        <w:rPr/>
      </w:pPr>
      <w:r>
        <w:rPr>
          <w:rFonts w:cs="Garamond" w:ascii="Garamond" w:hAnsi="Garamond"/>
          <w:b w:val="false"/>
          <w:bCs w:val="false"/>
        </w:rPr>
        <w:tab/>
      </w:r>
      <w:r>
        <w:rPr>
          <w:rFonts w:cs="Garamond" w:ascii="Garamond" w:hAnsi="Garamond"/>
          <w:b w:val="false"/>
          <w:bCs w:val="false"/>
        </w:rPr>
        <w:t>O processo de restauração deverá considerar</w:t>
      </w:r>
      <w:r>
        <w:rPr>
          <w:rFonts w:cs="Garamond" w:ascii="Garamond" w:hAnsi="Garamond"/>
          <w:b w:val="false"/>
          <w:bCs w:val="false"/>
        </w:rPr>
        <w:t xml:space="preserve"> a p</w:t>
      </w:r>
      <w:r>
        <w:rPr>
          <w:rFonts w:cs="Garamond" w:ascii="Garamond" w:hAnsi="Garamond"/>
          <w:b w:val="false"/>
          <w:bCs w:val="false"/>
        </w:rPr>
        <w:t>reservação de todos os elementos originais ainda existentes no imóvel</w:t>
      </w:r>
      <w:r>
        <w:rPr>
          <w:rFonts w:cs="Garamond" w:ascii="Garamond" w:hAnsi="Garamond"/>
          <w:b w:val="false"/>
          <w:bCs w:val="false"/>
        </w:rPr>
        <w:t xml:space="preserve"> (madeiras, esquadrias, pisos, sistema construtivo, etc) e elementos decorativos. </w:t>
      </w:r>
    </w:p>
    <w:p>
      <w:pPr>
        <w:pStyle w:val="Normal"/>
        <w:bidi w:val="0"/>
        <w:spacing w:lineRule="auto" w:line="276"/>
        <w:ind w:left="0" w:right="0" w:hanging="0"/>
        <w:jc w:val="both"/>
        <w:rPr>
          <w:rFonts w:ascii="Garamond" w:hAnsi="Garamond" w:cs="Garamond"/>
          <w:b w:val="false"/>
          <w:b w:val="false"/>
          <w:bCs w:val="false"/>
        </w:rPr>
      </w:pPr>
      <w:r>
        <w:rPr/>
      </w:r>
    </w:p>
    <w:p>
      <w:pPr>
        <w:pStyle w:val="Normal"/>
        <w:bidi w:val="0"/>
        <w:spacing w:lineRule="auto" w:line="276"/>
        <w:ind w:left="0" w:right="0" w:hanging="0"/>
        <w:jc w:val="both"/>
        <w:rPr/>
      </w:pPr>
      <w:r>
        <w:rPr>
          <w:rFonts w:cs="Garamond" w:ascii="Garamond" w:hAnsi="Garamond"/>
          <w:b w:val="false"/>
          <w:bCs w:val="false"/>
        </w:rPr>
        <w:tab/>
      </w:r>
      <w:r>
        <w:rPr>
          <w:rFonts w:cs="Times New Roman" w:ascii="Garamond" w:hAnsi="Garamond"/>
          <w:b w:val="false"/>
          <w:bCs w:val="false"/>
          <w:kern w:val="2"/>
          <w:sz w:val="24"/>
          <w:szCs w:val="24"/>
          <w:lang w:eastAsia="ar-SA"/>
        </w:rPr>
        <w:t xml:space="preserve">Ressalta-se a necessidade de se propor uso à edificação, de forma a garantir sua manutenção periódica. A preservação é de suma importância para a perpetuação do bem e uma das formas de preservar é atribuir um uso ao imóvel, a fim de incorporá-lo ao cotidiano dos habitantes, fazendo com que o imóvel cultural cumpra sua função social. É importante que o uso proposto seja compatível às características do imóvel e que atenda aos anseios e necessidades da comunidade local, de modo que o uso seja efetivo e a comunidade se aproprie do espaço e contribua com a vigilância e preservação do mesmo. </w:t>
      </w:r>
    </w:p>
    <w:p>
      <w:pPr>
        <w:pStyle w:val="Standard"/>
        <w:spacing w:lineRule="auto" w:line="276"/>
        <w:ind w:hanging="0"/>
        <w:jc w:val="both"/>
        <w:rPr>
          <w:rFonts w:ascii="Garamond" w:hAnsi="Garamond"/>
        </w:rPr>
      </w:pPr>
      <w:r>
        <w:rPr>
          <w:rFonts w:cs="Garamond" w:ascii="Garamond" w:hAnsi="Garamond"/>
          <w:b/>
          <w:bCs/>
          <w:color w:val="000000"/>
          <w:sz w:val="24"/>
          <w:szCs w:val="24"/>
        </w:rPr>
        <w:t xml:space="preserve"> </w:t>
      </w:r>
    </w:p>
    <w:p>
      <w:pPr>
        <w:pStyle w:val="Standard"/>
        <w:numPr>
          <w:ilvl w:val="0"/>
          <w:numId w:val="1"/>
        </w:numPr>
        <w:spacing w:lineRule="auto" w:line="276"/>
        <w:ind w:right="68" w:hanging="0"/>
        <w:jc w:val="both"/>
        <w:rPr/>
      </w:pPr>
      <w:r>
        <w:rPr>
          <w:rFonts w:cs="Garamond" w:ascii="Garamond" w:hAnsi="Garamond"/>
          <w:b/>
          <w:bCs/>
        </w:rPr>
        <w:t>Encerramento</w:t>
      </w:r>
    </w:p>
    <w:p>
      <w:pPr>
        <w:pStyle w:val="Standard"/>
        <w:spacing w:lineRule="auto" w:line="276"/>
        <w:ind w:left="360" w:hanging="0"/>
        <w:jc w:val="both"/>
        <w:rPr>
          <w:rFonts w:ascii="Garamond" w:hAnsi="Garamond" w:cs="Garamond"/>
          <w:b/>
          <w:b/>
          <w:bCs/>
        </w:rPr>
      </w:pPr>
      <w:r>
        <w:rPr>
          <w:rFonts w:cs="Garamond" w:ascii="Garamond" w:hAnsi="Garamond"/>
          <w:b/>
          <w:bCs/>
        </w:rPr>
      </w:r>
    </w:p>
    <w:p>
      <w:pPr>
        <w:pStyle w:val="Standard"/>
        <w:spacing w:lineRule="auto" w:line="276"/>
        <w:ind w:firstLine="709"/>
        <w:jc w:val="both"/>
        <w:rPr>
          <w:rFonts w:ascii="Garamond" w:hAnsi="Garamond" w:cs="Garamond"/>
        </w:rPr>
      </w:pPr>
      <w:r>
        <w:rPr>
          <w:rFonts w:cs="Garamond" w:ascii="Garamond" w:hAnsi="Garamond"/>
        </w:rPr>
        <w:t>São essas as considerações do Setor Técnico desta Promotoria, que se coloca à disposição para o que mais se fizer necessário.</w:t>
      </w:r>
    </w:p>
    <w:p>
      <w:pPr>
        <w:pStyle w:val="Standard"/>
        <w:spacing w:lineRule="auto" w:line="276"/>
        <w:ind w:firstLine="2160"/>
        <w:jc w:val="right"/>
        <w:rPr>
          <w:rFonts w:ascii="Garamond" w:hAnsi="Garamond" w:cs="Garamond"/>
        </w:rPr>
      </w:pPr>
      <w:r>
        <w:rPr>
          <w:rFonts w:cs="Garamond" w:ascii="Garamond" w:hAnsi="Garamond"/>
        </w:rPr>
      </w:r>
    </w:p>
    <w:p>
      <w:pPr>
        <w:pStyle w:val="Standard"/>
        <w:spacing w:lineRule="auto" w:line="276"/>
        <w:ind w:firstLine="2160"/>
        <w:jc w:val="right"/>
        <w:rPr>
          <w:rFonts w:ascii="Garamond" w:hAnsi="Garamond" w:cs="Garamond"/>
        </w:rPr>
      </w:pPr>
      <w:r>
        <w:rPr/>
      </w:r>
    </w:p>
    <w:p>
      <w:pPr>
        <w:pStyle w:val="Standard"/>
        <w:spacing w:lineRule="auto" w:line="276"/>
        <w:ind w:firstLine="2160"/>
        <w:jc w:val="right"/>
        <w:rPr>
          <w:rFonts w:ascii="Garamond" w:hAnsi="Garamond" w:cs="Garamond"/>
        </w:rPr>
      </w:pPr>
      <w:r>
        <w:rPr/>
      </w:r>
    </w:p>
    <w:p>
      <w:pPr>
        <w:pStyle w:val="Standard"/>
        <w:spacing w:lineRule="auto" w:line="276"/>
        <w:ind w:firstLine="2160"/>
        <w:jc w:val="right"/>
        <w:rPr/>
      </w:pPr>
      <w:r>
        <w:rPr>
          <w:rFonts w:cs="Garamond" w:ascii="Garamond" w:hAnsi="Garamond"/>
        </w:rPr>
        <w:t xml:space="preserve">Belo Horizonte, </w:t>
      </w:r>
      <w:r>
        <w:rPr>
          <w:rFonts w:cs="Garamond" w:ascii="Garamond" w:hAnsi="Garamond"/>
        </w:rPr>
        <w:t>02 de outubro</w:t>
      </w:r>
      <w:r>
        <w:rPr>
          <w:rFonts w:cs="Garamond" w:ascii="Garamond" w:hAnsi="Garamond"/>
        </w:rPr>
        <w:t xml:space="preserve"> de 2018.</w:t>
      </w:r>
    </w:p>
    <w:p>
      <w:pPr>
        <w:pStyle w:val="Standard"/>
        <w:spacing w:lineRule="auto" w:line="276"/>
        <w:ind w:firstLine="2160"/>
        <w:jc w:val="right"/>
        <w:rPr>
          <w:rFonts w:ascii="Garamond" w:hAnsi="Garamond" w:cs="Garamond"/>
        </w:rPr>
      </w:pPr>
      <w:r>
        <w:rPr>
          <w:rFonts w:cs="Garamond" w:ascii="Garamond" w:hAnsi="Garamond"/>
        </w:rPr>
      </w:r>
    </w:p>
    <w:p>
      <w:pPr>
        <w:pStyle w:val="Standard"/>
        <w:spacing w:lineRule="auto" w:line="276"/>
        <w:ind w:firstLine="2160"/>
        <w:jc w:val="right"/>
        <w:rPr>
          <w:rFonts w:ascii="Garamond" w:hAnsi="Garamond" w:cs="Garamond"/>
        </w:rPr>
      </w:pPr>
      <w:r>
        <w:rPr>
          <w:rFonts w:cs="Garamond" w:ascii="Garamond" w:hAnsi="Garamond"/>
        </w:rPr>
      </w:r>
    </w:p>
    <w:p>
      <w:pPr>
        <w:pStyle w:val="Standard"/>
        <w:spacing w:lineRule="auto" w:line="276"/>
        <w:ind w:firstLine="2160"/>
        <w:jc w:val="right"/>
        <w:rPr>
          <w:rFonts w:ascii="Garamond" w:hAnsi="Garamond" w:cs="Garamond"/>
        </w:rPr>
      </w:pPr>
      <w:r>
        <w:rPr>
          <w:rFonts w:cs="Garamond" w:ascii="Garamond" w:hAnsi="Garamond"/>
        </w:rPr>
      </w:r>
    </w:p>
    <w:p>
      <w:pPr>
        <w:pStyle w:val="Standard"/>
        <w:spacing w:lineRule="auto" w:line="276"/>
        <w:ind w:firstLine="2160"/>
        <w:jc w:val="right"/>
        <w:rPr>
          <w:rFonts w:ascii="Garamond" w:hAnsi="Garamond" w:cs="Garamond"/>
        </w:rPr>
      </w:pPr>
      <w:r>
        <w:rPr>
          <w:rFonts w:cs="Garamond" w:ascii="Garamond" w:hAnsi="Garamond"/>
        </w:rPr>
      </w:r>
    </w:p>
    <w:p>
      <w:pPr>
        <w:pStyle w:val="Ttulododocumento"/>
        <w:spacing w:before="0" w:after="0"/>
        <w:jc w:val="center"/>
        <w:rPr>
          <w:rFonts w:ascii="Garamond" w:hAnsi="Garamond" w:cs="Garamond"/>
          <w:sz w:val="24"/>
          <w:szCs w:val="24"/>
        </w:rPr>
      </w:pPr>
      <w:r>
        <w:rPr>
          <w:rFonts w:cs="Garamond" w:ascii="Garamond" w:hAnsi="Garamond"/>
          <w:sz w:val="24"/>
          <w:szCs w:val="24"/>
        </w:rPr>
        <w:t>Andréa Lanna Mendes Novais</w:t>
      </w:r>
    </w:p>
    <w:p>
      <w:pPr>
        <w:pStyle w:val="Ttulododocumento"/>
        <w:spacing w:before="0" w:after="0"/>
        <w:jc w:val="center"/>
        <w:rPr>
          <w:rFonts w:ascii="Garamond" w:hAnsi="Garamond" w:cs="Garamond"/>
          <w:sz w:val="24"/>
          <w:szCs w:val="24"/>
        </w:rPr>
      </w:pPr>
      <w:r>
        <w:rPr>
          <w:rFonts w:cs="Garamond" w:ascii="Garamond" w:hAnsi="Garamond"/>
          <w:sz w:val="24"/>
          <w:szCs w:val="24"/>
        </w:rPr>
        <w:t>Analista do Ministério Público – MAMP 3951</w:t>
      </w:r>
    </w:p>
    <w:p>
      <w:pPr>
        <w:pStyle w:val="Standard"/>
        <w:jc w:val="center"/>
        <w:rPr/>
      </w:pPr>
      <w:r>
        <w:rPr>
          <w:rFonts w:cs="Garamond" w:ascii="Garamond" w:hAnsi="Garamond"/>
        </w:rPr>
        <w:t xml:space="preserve">Arquiteta Urbanista – CAU </w:t>
      </w:r>
      <w:r>
        <w:rPr>
          <w:rFonts w:cs="Garamond" w:ascii="Garamond" w:hAnsi="Garamond"/>
        </w:rPr>
        <w:t>A</w:t>
      </w:r>
      <w:r>
        <w:rPr>
          <w:rFonts w:cs="Garamond" w:ascii="Garamond" w:hAnsi="Garamond"/>
        </w:rPr>
        <w:t>27713-4</w:t>
      </w:r>
    </w:p>
    <w:sectPr>
      <w:headerReference w:type="default" r:id="rId16"/>
      <w:footerReference w:type="default" r:id="rId17"/>
      <w:footnotePr>
        <w:numFmt w:val="decimal"/>
      </w:footnotePr>
      <w:type w:val="nextPage"/>
      <w:pgSz w:w="11906" w:h="16838"/>
      <w:pgMar w:left="1701" w:right="1701" w:header="709" w:top="766" w:footer="567"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Tahoma">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Garamond">
    <w:charset w:val="00"/>
    <w:family w:val="roman"/>
    <w:pitch w:val="variable"/>
  </w:font>
  <w:font w:name="OpenSymbol">
    <w:altName w:val="Arial Unicode MS"/>
    <w:charset w:val="00"/>
    <w:family w:val="roman"/>
    <w:pitch w:val="variable"/>
  </w:font>
  <w:font w:name="Courier New">
    <w:charset w:val="00"/>
    <w:family w:val="modern"/>
    <w:pitch w:val="default"/>
  </w:font>
  <w:font w:name="Wingdings">
    <w:charset w:val="02"/>
    <w:family w:val="auto"/>
    <w:pitch w:val="variable"/>
  </w:font>
  <w:font w:name="Liberation Sans">
    <w:altName w:val="Arial"/>
    <w:charset w:val="00"/>
    <w:family w:val="roman"/>
    <w:pitch w:val="variable"/>
  </w:font>
  <w:font w:name="Arial">
    <w:charset w:val="00"/>
    <w:family w:val="roman"/>
    <w:pitch w:val="variable"/>
  </w:font>
  <w:font w:name="Arial Unicode MS">
    <w:charset w:val="00"/>
    <w:family w:val="roman"/>
    <w:pitch w:val="variable"/>
  </w:font>
  <w:font w:name="Garamond">
    <w:charset w:val="01"/>
    <w:family w:val="roman"/>
    <w:pitch w:val="variable"/>
  </w:font>
  <w:font w:name="Symbol">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rPr>
        <w:color w:val="000000"/>
      </w:rPr>
    </w:pPr>
    <w:r>
      <w:rPr>
        <w:color w:val="000000"/>
      </w:rPr>
      <w:drawing>
        <wp:anchor behindDoc="1" distT="0" distB="0" distL="0" distR="0" simplePos="0" locked="0" layoutInCell="1" allowOverlap="1" relativeHeight="22">
          <wp:simplePos x="0" y="0"/>
          <wp:positionH relativeFrom="column">
            <wp:posOffset>635</wp:posOffset>
          </wp:positionH>
          <wp:positionV relativeFrom="paragraph">
            <wp:posOffset>-168275</wp:posOffset>
          </wp:positionV>
          <wp:extent cx="5399405" cy="446405"/>
          <wp:effectExtent l="0" t="0" r="0" b="0"/>
          <wp:wrapSquare wrapText="largest"/>
          <wp:docPr id="18"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a1" descr=""/>
                  <pic:cNvPicPr>
                    <a:picLocks noChangeAspect="1" noChangeArrowheads="1"/>
                  </pic:cNvPicPr>
                </pic:nvPicPr>
                <pic:blipFill>
                  <a:blip r:embed="rId1"/>
                  <a:srcRect l="-9" t="-112" r="-9" b="-112"/>
                  <a:stretch>
                    <a:fillRect/>
                  </a:stretch>
                </pic:blipFill>
                <pic:spPr bwMode="auto">
                  <a:xfrm>
                    <a:off x="0" y="0"/>
                    <a:ext cx="5399405" cy="446405"/>
                  </a:xfrm>
                  <a:prstGeom prst="rect">
                    <a:avLst/>
                  </a:prstGeom>
                </pic:spPr>
              </pic:pic>
            </a:graphicData>
          </a:graphic>
        </wp:anchor>
      </w:drawing>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derodap"/>
        <w:rPr/>
      </w:pPr>
      <w:r>
        <w:rPr>
          <w:rStyle w:val="Caracteresdenotaderodap"/>
        </w:rPr>
        <w:footnoteRef/>
      </w:r>
      <w:r>
        <w:rPr>
          <w:rStyle w:val="Caracteresdenotaderodap"/>
        </w:rPr>
        <w:tab/>
      </w:r>
      <w:r>
        <w:rPr>
          <w:rStyle w:val="FootnoteCharacters"/>
        </w:rPr>
        <w:tab/>
      </w:r>
      <w:r>
        <w:rPr/>
        <w:t xml:space="preserve"> E-mail de Fabrício Henrique Miranda, 10/05/2016 – PAAF </w:t>
      </w:r>
      <w:r>
        <w:rPr>
          <w:rFonts w:cs="Garamond" w:ascii="Garamond" w:hAnsi="Garamond"/>
        </w:rPr>
        <w:t>0024.16.007502-4 – Fls. 2</w:t>
      </w:r>
    </w:p>
  </w:footnote>
  <w:footnote w:id="3">
    <w:p>
      <w:pPr>
        <w:pStyle w:val="Notaderodap"/>
        <w:rPr/>
      </w:pPr>
      <w:r>
        <w:rPr>
          <w:rStyle w:val="Caracteresdenotaderodap"/>
        </w:rPr>
        <w:footnoteRef/>
      </w:r>
      <w:r>
        <w:rPr>
          <w:rStyle w:val="Caracteresdenotaderodap"/>
        </w:rPr>
        <w:tab/>
      </w:r>
      <w:r>
        <w:rPr>
          <w:rFonts w:ascii="Garamond" w:hAnsi="Garamond"/>
        </w:rPr>
        <w:tab/>
        <w:t xml:space="preserve">Datado de 26/12/2012. </w:t>
      </w:r>
    </w:p>
  </w:footnote>
  <w:footnote w:id="4">
    <w:p>
      <w:pPr>
        <w:pStyle w:val="Notaderodap"/>
        <w:rPr/>
      </w:pPr>
      <w:r>
        <w:rPr>
          <w:rStyle w:val="Caracteresdenotaderodap"/>
        </w:rPr>
        <w:footnoteRef/>
      </w:r>
      <w:r>
        <w:rPr>
          <w:rStyle w:val="Caracteresdenotaderodap"/>
          <w:rFonts w:ascii="Garamond" w:hAnsi="Garamond"/>
        </w:rPr>
        <w:tab/>
      </w:r>
      <w:r>
        <w:rPr>
          <w:rStyle w:val="FootnoteCharacters"/>
          <w:rFonts w:ascii="Garamond" w:hAnsi="Garamond"/>
        </w:rPr>
        <w:tab/>
      </w:r>
      <w:r>
        <w:rPr>
          <w:rFonts w:ascii="Garamond" w:hAnsi="Garamond"/>
        </w:rPr>
        <w:t xml:space="preserve"> Laudo Técnico de Vistoria Visual – PAAF idem. – Fls 31/50</w:t>
      </w:r>
    </w:p>
  </w:footnote>
  <w:footnote w:id="5">
    <w:p>
      <w:pPr>
        <w:pStyle w:val="Notaderodap"/>
        <w:rPr/>
      </w:pPr>
      <w:r>
        <w:rPr>
          <w:rStyle w:val="Caracteresdenotaderodap"/>
        </w:rPr>
        <w:footnoteRef/>
      </w:r>
      <w:r>
        <w:rPr>
          <w:rStyle w:val="Caracteresdenotaderodap"/>
        </w:rPr>
        <w:tab/>
      </w:r>
      <w:r>
        <w:rPr>
          <w:rFonts w:ascii="Garamond" w:hAnsi="Garamond"/>
        </w:rPr>
        <w:tab/>
        <w:t xml:space="preserve">Datado de 26/12/2012. </w:t>
      </w:r>
    </w:p>
  </w:footnote>
  <w:footnote w:id="6">
    <w:p>
      <w:pPr>
        <w:pStyle w:val="Notaderodap"/>
        <w:jc w:val="both"/>
        <w:rPr/>
      </w:pPr>
      <w:r>
        <w:rPr>
          <w:rStyle w:val="Caracteresdenotaderodap"/>
        </w:rPr>
        <w:footnoteRef/>
      </w:r>
      <w:r>
        <w:rPr>
          <w:rStyle w:val="Caracteresdenotaderodap"/>
        </w:rPr>
        <w:tab/>
      </w:r>
      <w:r>
        <w:rPr>
          <w:rFonts w:ascii="Garamond" w:hAnsi="Garamond"/>
        </w:rPr>
        <w:t>Restauração: conjunto de intervenções de caráter intensivo que, com base em metodologia e técnica específicas, visa recuperar a plenitude de expressão e a perenidade do bem cultural, respeitadas as marcas de sua passagem através do tempo. Instrução Normativa n º 1/2003 – Instituto do Patrimônio Histórico e Artístico Nacional – IPHAN.</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ind w:right="360" w:hanging="0"/>
      <w:jc w:val="center"/>
      <w:rPr/>
    </w:pPr>
    <w:r>
      <w:rPr/>
      <w:drawing>
        <wp:inline distT="0" distB="0" distL="0" distR="0">
          <wp:extent cx="5396230" cy="828675"/>
          <wp:effectExtent l="0" t="0" r="0" b="0"/>
          <wp:docPr id="17" name="Figura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a7" descr=""/>
                  <pic:cNvPicPr>
                    <a:picLocks noChangeAspect="1" noChangeArrowheads="1"/>
                  </pic:cNvPicPr>
                </pic:nvPicPr>
                <pic:blipFill>
                  <a:blip r:embed="rId1"/>
                  <a:srcRect l="-23" t="-153" r="-23" b="-153"/>
                  <a:stretch>
                    <a:fillRect/>
                  </a:stretch>
                </pic:blipFill>
                <pic:spPr bwMode="auto">
                  <a:xfrm>
                    <a:off x="0" y="0"/>
                    <a:ext cx="5396230" cy="828675"/>
                  </a:xfrm>
                  <a:prstGeom prst="rect">
                    <a:avLst/>
                  </a:prstGeom>
                </pic:spPr>
              </pic:pic>
            </a:graphicData>
          </a:graphic>
        </wp:inline>
      </w:drawing>
      <mc:AlternateContent>
        <mc:Choice Requires="wps">
          <w:drawing>
            <wp:anchor behindDoc="1" distT="0" distB="0" distL="114300" distR="114300" simplePos="0" locked="0" layoutInCell="1" allowOverlap="1" relativeHeight="10" wp14:anchorId="20FC9CB0">
              <wp:simplePos x="0" y="0"/>
              <wp:positionH relativeFrom="margin">
                <wp:align>right</wp:align>
              </wp:positionH>
              <wp:positionV relativeFrom="paragraph">
                <wp:posOffset>635</wp:posOffset>
              </wp:positionV>
              <wp:extent cx="15875" cy="349885"/>
              <wp:effectExtent l="0" t="0" r="0" b="0"/>
              <wp:wrapSquare wrapText="bothSides"/>
              <wp:docPr id="15" name="Quadro1"/>
              <a:graphic xmlns:a="http://schemas.openxmlformats.org/drawingml/2006/main">
                <a:graphicData uri="http://schemas.microsoft.com/office/word/2010/wordprocessingShape">
                  <wps:wsp>
                    <wps:cNvSpPr/>
                    <wps:spPr>
                      <a:xfrm>
                        <a:off x="0" y="0"/>
                        <a:ext cx="15120" cy="349200"/>
                      </a:xfrm>
                      <a:prstGeom prst="rect">
                        <a:avLst/>
                      </a:prstGeom>
                      <a:noFill/>
                      <a:ln>
                        <a:noFill/>
                      </a:ln>
                    </wps:spPr>
                    <wps:style>
                      <a:lnRef idx="0"/>
                      <a:fillRef idx="0"/>
                      <a:effectRef idx="0"/>
                      <a:fontRef idx="minor"/>
                    </wps:style>
                    <wps:txbx>
                      <w:txbxContent>
                        <w:p>
                          <w:pPr>
                            <w:pStyle w:val="Cabealho"/>
                            <w:rPr/>
                          </w:pPr>
                          <w:r>
                            <w:rPr>
                              <w:rStyle w:val="Pagenumber"/>
                              <w:color w:val="000000"/>
                            </w:rPr>
                            <w:fldChar w:fldCharType="begin"/>
                          </w:r>
                          <w:r>
                            <w:rPr>
                              <w:rStyle w:val="Pagenumber"/>
                            </w:rPr>
                            <w:instrText> PAGE </w:instrText>
                          </w:r>
                          <w:r>
                            <w:rPr>
                              <w:rStyle w:val="Pagenumber"/>
                            </w:rPr>
                            <w:fldChar w:fldCharType="separate"/>
                          </w:r>
                          <w:r>
                            <w:rPr>
                              <w:rStyle w:val="Pagenumber"/>
                            </w:rPr>
                            <w:t>7</w:t>
                          </w:r>
                          <w:r>
                            <w:rPr>
                              <w:rStyle w:val="Pagenumber"/>
                            </w:rPr>
                            <w:fldChar w:fldCharType="end"/>
                          </w:r>
                        </w:p>
                      </w:txbxContent>
                    </wps:txbx>
                    <wps:bodyPr lIns="0" rIns="0" tIns="0" bIns="0">
                      <a:spAutoFit/>
                    </wps:bodyPr>
                  </wps:wsp>
                </a:graphicData>
              </a:graphic>
            </wp:anchor>
          </w:drawing>
        </mc:Choice>
        <mc:Fallback>
          <w:pict>
            <v:rect id="shape_0" ID="Quadro1" stroked="f" style="position:absolute;margin-left:414.95pt;margin-top:0.05pt;width:1.15pt;height:27.45pt;mso-position-horizontal:right;mso-position-horizontal-relative:margin" wp14:anchorId="20FC9CB0">
              <w10:wrap type="square"/>
              <v:fill o:detectmouseclick="t" on="false"/>
              <v:stroke color="#3465a4" joinstyle="round" endcap="flat"/>
              <v:textbox>
                <w:txbxContent>
                  <w:p>
                    <w:pPr>
                      <w:pStyle w:val="Cabealho"/>
                      <w:rPr/>
                    </w:pPr>
                    <w:r>
                      <w:rPr>
                        <w:rStyle w:val="Pagenumber"/>
                        <w:color w:val="000000"/>
                      </w:rPr>
                      <w:fldChar w:fldCharType="begin"/>
                    </w:r>
                    <w:r>
                      <w:rPr>
                        <w:rStyle w:val="Pagenumber"/>
                      </w:rPr>
                      <w:instrText> PAGE </w:instrText>
                    </w:r>
                    <w:r>
                      <w:rPr>
                        <w:rStyle w:val="Pagenumber"/>
                      </w:rPr>
                      <w:fldChar w:fldCharType="separate"/>
                    </w:r>
                    <w:r>
                      <w:rPr>
                        <w:rStyle w:val="Pagenumber"/>
                      </w:rPr>
                      <w:t>7</w:t>
                    </w:r>
                    <w:r>
                      <w:rPr>
                        <w:rStyle w:val="Pagenumber"/>
                      </w:rPr>
                      <w:fldChar w:fldCharType="end"/>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0" w:hanging="0"/>
      </w:pPr>
      <w:rPr>
        <w:b/>
        <w:bCs/>
        <w:rFonts w:ascii="Garamond" w:hAnsi="Garamond" w:cs="Garamond"/>
      </w:rPr>
    </w:lvl>
    <w:lvl w:ilvl="1">
      <w:start w:val="1"/>
      <w:numFmt w:val="lowerLetter"/>
      <w:lvlText w:val="%2."/>
      <w:lvlJc w:val="left"/>
      <w:pPr>
        <w:ind w:left="0" w:hanging="0"/>
      </w:pPr>
    </w:lvl>
    <w:lvl w:ilvl="2">
      <w:start w:val="1"/>
      <w:numFmt w:val="lowerRoman"/>
      <w:lvlText w:val="%3."/>
      <w:lvlJc w:val="right"/>
      <w:pPr>
        <w:ind w:left="0" w:hanging="0"/>
      </w:pPr>
    </w:lvl>
    <w:lvl w:ilvl="3">
      <w:start w:val="1"/>
      <w:numFmt w:val="decimal"/>
      <w:lvlText w:val="%4."/>
      <w:lvlJc w:val="left"/>
      <w:pPr>
        <w:ind w:left="0" w:hanging="0"/>
      </w:pPr>
    </w:lvl>
    <w:lvl w:ilvl="4">
      <w:start w:val="1"/>
      <w:numFmt w:val="lowerLetter"/>
      <w:lvlText w:val="%5."/>
      <w:lvlJc w:val="left"/>
      <w:pPr>
        <w:ind w:left="0" w:hanging="0"/>
      </w:pPr>
    </w:lvl>
    <w:lvl w:ilvl="5">
      <w:start w:val="1"/>
      <w:numFmt w:val="lowerRoman"/>
      <w:lvlText w:val="%6."/>
      <w:lvlJc w:val="right"/>
      <w:pPr>
        <w:ind w:left="0" w:hanging="0"/>
      </w:pPr>
    </w:lvl>
    <w:lvl w:ilvl="6">
      <w:start w:val="1"/>
      <w:numFmt w:val="decimal"/>
      <w:lvlText w:val="%7."/>
      <w:lvlJc w:val="left"/>
      <w:pPr>
        <w:ind w:left="0" w:hanging="0"/>
      </w:pPr>
    </w:lvl>
    <w:lvl w:ilvl="7">
      <w:start w:val="1"/>
      <w:numFmt w:val="lowerLetter"/>
      <w:lvlText w:val="%8."/>
      <w:lvlJc w:val="left"/>
      <w:pPr>
        <w:ind w:left="0" w:hanging="0"/>
      </w:pPr>
    </w:lvl>
    <w:lvl w:ilvl="8">
      <w:start w:val="1"/>
      <w:numFmt w:val="lowerRoman"/>
      <w:lvlText w:val="%9."/>
      <w:lvlJc w:val="right"/>
      <w:pPr>
        <w:ind w:left="0" w:hanging="0"/>
      </w:p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false"/>
  <w:footnotePr>
    <w:numFmt w:val="decimal"/>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SimSun" w:cs="Mangal"/>
        <w:kern w:val="2"/>
        <w:szCs w:val="24"/>
        <w:lang w:val="pt-BR"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uiPriority="10" w:semiHidden="0" w:unhideWhenUsed="0" w:qFormat="1"/>
    <w:lsdException w:name="Default Paragraph Font" w:uiPriority="1"/>
    <w:lsdException w:name="Subtitle" w:uiPriority="11" w:semiHidden="0" w:unhideWhenUsed="0" w:qFormat="1"/>
    <w:lsdException w:name="Body Text Indent 3" w:uiPriority="0"/>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jc w:val="left"/>
      <w:textAlignment w:val="baseline"/>
    </w:pPr>
    <w:rPr>
      <w:rFonts w:ascii="Times New Roman" w:hAnsi="Times New Roman" w:eastAsia="SimSun" w:cs="Mangal"/>
      <w:color w:val="auto"/>
      <w:kern w:val="2"/>
      <w:sz w:val="24"/>
      <w:szCs w:val="24"/>
      <w:lang w:val="pt-BR" w:eastAsia="zh-CN" w:bidi="hi-IN"/>
    </w:rPr>
  </w:style>
  <w:style w:type="paragraph" w:styleId="Ttulo1">
    <w:name w:val="Heading 1"/>
    <w:basedOn w:val="Normal"/>
    <w:qFormat/>
    <w:pPr>
      <w:keepNext w:val="true"/>
      <w:widowControl w:val="false"/>
      <w:bidi w:val="0"/>
      <w:jc w:val="center"/>
      <w:outlineLvl w:val="0"/>
    </w:pPr>
    <w:rPr>
      <w:rFonts w:ascii="Times New Roman" w:hAnsi="Times New Roman" w:eastAsia="SimSun" w:cs="Mangal"/>
      <w:b/>
      <w:bCs/>
      <w:color w:val="auto"/>
      <w:kern w:val="2"/>
      <w:sz w:val="24"/>
      <w:szCs w:val="24"/>
      <w:lang w:val="pt-BR" w:eastAsia="zh-CN" w:bidi="hi-IN"/>
    </w:rPr>
  </w:style>
  <w:style w:type="paragraph" w:styleId="Ttulo2">
    <w:name w:val="Heading 2"/>
    <w:basedOn w:val="Normal"/>
    <w:qFormat/>
    <w:pPr>
      <w:keepNext w:val="true"/>
      <w:widowControl w:val="false"/>
      <w:bidi w:val="0"/>
      <w:spacing w:before="240" w:after="60"/>
      <w:jc w:val="left"/>
      <w:outlineLvl w:val="1"/>
    </w:pPr>
    <w:rPr>
      <w:rFonts w:ascii="Cambria" w:hAnsi="Cambria" w:eastAsia="SimSun" w:cs="Mangal"/>
      <w:b/>
      <w:bCs/>
      <w:i/>
      <w:iCs/>
      <w:color w:val="auto"/>
      <w:kern w:val="2"/>
      <w:sz w:val="28"/>
      <w:szCs w:val="28"/>
      <w:lang w:val="pt-BR" w:eastAsia="zh-CN" w:bidi="hi-IN"/>
    </w:rPr>
  </w:style>
  <w:style w:type="paragraph" w:styleId="Ttulo3">
    <w:name w:val="Heading 3"/>
    <w:basedOn w:val="Normal"/>
    <w:qFormat/>
    <w:pPr>
      <w:keepNext w:val="true"/>
      <w:widowControl w:val="false"/>
      <w:bidi w:val="0"/>
      <w:jc w:val="left"/>
      <w:outlineLvl w:val="2"/>
    </w:pPr>
    <w:rPr>
      <w:rFonts w:ascii="Tahoma" w:hAnsi="Tahoma" w:eastAsia="SimSun" w:cs="Tahoma"/>
      <w:b/>
      <w:bCs/>
      <w:color w:val="auto"/>
      <w:kern w:val="2"/>
      <w:sz w:val="21"/>
      <w:szCs w:val="24"/>
      <w:lang w:val="pt-BR" w:eastAsia="zh-CN" w:bidi="hi-IN"/>
    </w:rPr>
  </w:style>
  <w:style w:type="paragraph" w:styleId="Ttulo7">
    <w:name w:val="Heading 7"/>
    <w:basedOn w:val="Normal"/>
    <w:qFormat/>
    <w:pPr>
      <w:keepNext w:val="true"/>
      <w:widowControl w:val="false"/>
      <w:bidi w:val="0"/>
      <w:jc w:val="both"/>
      <w:outlineLvl w:val="6"/>
    </w:pPr>
    <w:rPr>
      <w:rFonts w:ascii="Times New Roman" w:hAnsi="Times New Roman" w:eastAsia="SimSun" w:cs="Mangal"/>
      <w:color w:val="auto"/>
      <w:kern w:val="2"/>
      <w:sz w:val="24"/>
      <w:szCs w:val="20"/>
      <w:lang w:val="pt-BR" w:eastAsia="zh-CN" w:bidi="hi-IN"/>
    </w:rPr>
  </w:style>
  <w:style w:type="paragraph" w:styleId="Ttulo8">
    <w:name w:val="Heading 8"/>
    <w:basedOn w:val="Normal"/>
    <w:next w:val="Normal"/>
    <w:link w:val="Ttulo8Char"/>
    <w:uiPriority w:val="9"/>
    <w:semiHidden/>
    <w:unhideWhenUsed/>
    <w:qFormat/>
    <w:rsid w:val="00670efe"/>
    <w:pPr>
      <w:keepNext w:val="true"/>
      <w:keepLines/>
      <w:spacing w:before="200" w:after="0"/>
      <w:outlineLvl w:val="7"/>
    </w:pPr>
    <w:rPr>
      <w:rFonts w:ascii="Cambria" w:hAnsi="Cambria" w:eastAsia="" w:asciiTheme="majorHAnsi" w:eastAsiaTheme="majorEastAsia" w:hAnsiTheme="majorHAnsi"/>
      <w:color w:val="404040" w:themeColor="text1" w:themeTint="bf"/>
      <w:sz w:val="20"/>
      <w:szCs w:val="18"/>
    </w:rPr>
  </w:style>
  <w:style w:type="character" w:styleId="DefaultParagraphFont" w:default="1">
    <w:name w:val="Default Paragraph Font"/>
    <w:uiPriority w:val="1"/>
    <w:semiHidden/>
    <w:unhideWhenUsed/>
    <w:qFormat/>
    <w:rPr/>
  </w:style>
  <w:style w:type="character" w:styleId="WW8Num1z0" w:customStyle="1">
    <w:name w:val="WW8Num1z0"/>
    <w:qFormat/>
    <w:rPr/>
  </w:style>
  <w:style w:type="character" w:styleId="WW8Num1z1" w:customStyle="1">
    <w:name w:val="WW8Num1z1"/>
    <w:qFormat/>
    <w:rPr/>
  </w:style>
  <w:style w:type="character" w:styleId="WW8Num1z2" w:customStyle="1">
    <w:name w:val="WW8Num1z2"/>
    <w:qFormat/>
    <w:rPr/>
  </w:style>
  <w:style w:type="character" w:styleId="WW8Num1z3" w:customStyle="1">
    <w:name w:val="WW8Num1z3"/>
    <w:qFormat/>
    <w:rPr/>
  </w:style>
  <w:style w:type="character" w:styleId="WW8Num1z4" w:customStyle="1">
    <w:name w:val="WW8Num1z4"/>
    <w:qFormat/>
    <w:rPr/>
  </w:style>
  <w:style w:type="character" w:styleId="WW8Num1z5" w:customStyle="1">
    <w:name w:val="WW8Num1z5"/>
    <w:qFormat/>
    <w:rPr/>
  </w:style>
  <w:style w:type="character" w:styleId="WW8Num1z6" w:customStyle="1">
    <w:name w:val="WW8Num1z6"/>
    <w:qFormat/>
    <w:rPr/>
  </w:style>
  <w:style w:type="character" w:styleId="WW8Num1z7" w:customStyle="1">
    <w:name w:val="WW8Num1z7"/>
    <w:qFormat/>
    <w:rPr/>
  </w:style>
  <w:style w:type="character" w:styleId="WW8Num1z8" w:customStyle="1">
    <w:name w:val="WW8Num1z8"/>
    <w:qFormat/>
    <w:rPr/>
  </w:style>
  <w:style w:type="character" w:styleId="WW8Num2z0" w:customStyle="1">
    <w:name w:val="WW8Num2z0"/>
    <w:qFormat/>
    <w:rPr>
      <w:rFonts w:ascii="Symbol" w:hAnsi="Symbol" w:cs="Symbol"/>
    </w:rPr>
  </w:style>
  <w:style w:type="character" w:styleId="WW8Num2z1" w:customStyle="1">
    <w:name w:val="WW8Num2z1"/>
    <w:qFormat/>
    <w:rPr>
      <w:rFonts w:ascii="Courier New" w:hAnsi="Courier New" w:cs="Courier New"/>
    </w:rPr>
  </w:style>
  <w:style w:type="character" w:styleId="WW8Num2z2" w:customStyle="1">
    <w:name w:val="WW8Num2z2"/>
    <w:qFormat/>
    <w:rPr>
      <w:rFonts w:ascii="Wingdings" w:hAnsi="Wingdings" w:cs="Wingdings"/>
    </w:rPr>
  </w:style>
  <w:style w:type="character" w:styleId="WW8Num3z0" w:customStyle="1">
    <w:name w:val="WW8Num3z0"/>
    <w:qFormat/>
    <w:rPr/>
  </w:style>
  <w:style w:type="character" w:styleId="WW8Num3z1" w:customStyle="1">
    <w:name w:val="WW8Num3z1"/>
    <w:qFormat/>
    <w:rPr>
      <w:rFonts w:ascii="Symbol" w:hAnsi="Symbol" w:eastAsia="Times New Roman" w:cs="Times New Roman"/>
    </w:rPr>
  </w:style>
  <w:style w:type="character" w:styleId="WW8Num3z2" w:customStyle="1">
    <w:name w:val="WW8Num3z2"/>
    <w:qFormat/>
    <w:rPr/>
  </w:style>
  <w:style w:type="character" w:styleId="WW8Num3z3" w:customStyle="1">
    <w:name w:val="WW8Num3z3"/>
    <w:qFormat/>
    <w:rPr/>
  </w:style>
  <w:style w:type="character" w:styleId="WW8Num3z4" w:customStyle="1">
    <w:name w:val="WW8Num3z4"/>
    <w:qFormat/>
    <w:rPr/>
  </w:style>
  <w:style w:type="character" w:styleId="WW8Num3z5" w:customStyle="1">
    <w:name w:val="WW8Num3z5"/>
    <w:qFormat/>
    <w:rPr/>
  </w:style>
  <w:style w:type="character" w:styleId="WW8Num3z6" w:customStyle="1">
    <w:name w:val="WW8Num3z6"/>
    <w:qFormat/>
    <w:rPr/>
  </w:style>
  <w:style w:type="character" w:styleId="WW8Num3z7" w:customStyle="1">
    <w:name w:val="WW8Num3z7"/>
    <w:qFormat/>
    <w:rPr/>
  </w:style>
  <w:style w:type="character" w:styleId="WW8Num3z8" w:customStyle="1">
    <w:name w:val="WW8Num3z8"/>
    <w:qFormat/>
    <w:rPr/>
  </w:style>
  <w:style w:type="character" w:styleId="WW8Num4z0" w:customStyle="1">
    <w:name w:val="WW8Num4z0"/>
    <w:qFormat/>
    <w:rPr>
      <w:rFonts w:ascii="Garamond" w:hAnsi="Garamond" w:cs="Garamond"/>
      <w:b/>
      <w:bCs/>
    </w:rPr>
  </w:style>
  <w:style w:type="character" w:styleId="WW8Num4z1" w:customStyle="1">
    <w:name w:val="WW8Num4z1"/>
    <w:qFormat/>
    <w:rPr/>
  </w:style>
  <w:style w:type="character" w:styleId="WW8Num4z2" w:customStyle="1">
    <w:name w:val="WW8Num4z2"/>
    <w:qFormat/>
    <w:rPr/>
  </w:style>
  <w:style w:type="character" w:styleId="WW8Num4z3" w:customStyle="1">
    <w:name w:val="WW8Num4z3"/>
    <w:qFormat/>
    <w:rPr/>
  </w:style>
  <w:style w:type="character" w:styleId="WW8Num4z4" w:customStyle="1">
    <w:name w:val="WW8Num4z4"/>
    <w:qFormat/>
    <w:rPr/>
  </w:style>
  <w:style w:type="character" w:styleId="WW8Num4z5" w:customStyle="1">
    <w:name w:val="WW8Num4z5"/>
    <w:qFormat/>
    <w:rPr/>
  </w:style>
  <w:style w:type="character" w:styleId="WW8Num4z6" w:customStyle="1">
    <w:name w:val="WW8Num4z6"/>
    <w:qFormat/>
    <w:rPr/>
  </w:style>
  <w:style w:type="character" w:styleId="WW8Num4z7" w:customStyle="1">
    <w:name w:val="WW8Num4z7"/>
    <w:qFormat/>
    <w:rPr/>
  </w:style>
  <w:style w:type="character" w:styleId="WW8Num4z8" w:customStyle="1">
    <w:name w:val="WW8Num4z8"/>
    <w:qFormat/>
    <w:rPr/>
  </w:style>
  <w:style w:type="character" w:styleId="Caracteresdenotaderodap" w:customStyle="1">
    <w:name w:val="Caracteres de nota de rodapé"/>
    <w:qFormat/>
    <w:rPr>
      <w:vertAlign w:val="superscript"/>
    </w:rPr>
  </w:style>
  <w:style w:type="character" w:styleId="Pagenumber">
    <w:name w:val="page number"/>
    <w:basedOn w:val="DefaultParagraphFont"/>
    <w:qFormat/>
    <w:rPr/>
  </w:style>
  <w:style w:type="character" w:styleId="Internetlink" w:customStyle="1">
    <w:name w:val="Internet link"/>
    <w:qFormat/>
    <w:rPr>
      <w:color w:val="0000FF"/>
      <w:u w:val="single"/>
    </w:rPr>
  </w:style>
  <w:style w:type="character" w:styleId="H1" w:customStyle="1">
    <w:name w:val="h1"/>
    <w:basedOn w:val="DefaultParagraphFont"/>
    <w:qFormat/>
    <w:rPr/>
  </w:style>
  <w:style w:type="character" w:styleId="Ttulo2Char" w:customStyle="1">
    <w:name w:val="Título 2 Char"/>
    <w:qFormat/>
    <w:rPr>
      <w:rFonts w:ascii="Cambria" w:hAnsi="Cambria" w:eastAsia="Times New Roman" w:cs="Times New Roman"/>
      <w:b/>
      <w:bCs/>
      <w:i/>
      <w:iCs/>
      <w:sz w:val="28"/>
      <w:szCs w:val="28"/>
    </w:rPr>
  </w:style>
  <w:style w:type="character" w:styleId="Ncoradanotaderodap" w:customStyle="1">
    <w:name w:val="Âncora da nota de rodapé"/>
    <w:rPr>
      <w:vertAlign w:val="superscript"/>
    </w:rPr>
  </w:style>
  <w:style w:type="character" w:styleId="Marcas" w:customStyle="1">
    <w:name w:val="Marcas"/>
    <w:qFormat/>
    <w:rPr>
      <w:rFonts w:ascii="OpenSymbol" w:hAnsi="OpenSymbol" w:eastAsia="OpenSymbol" w:cs="OpenSymbol"/>
    </w:rPr>
  </w:style>
  <w:style w:type="character" w:styleId="Nfase">
    <w:name w:val="Ênfase"/>
    <w:uiPriority w:val="20"/>
    <w:qFormat/>
    <w:rPr>
      <w:i/>
      <w:iCs/>
    </w:rPr>
  </w:style>
  <w:style w:type="character" w:styleId="Nfaseforte" w:customStyle="1">
    <w:name w:val="Ênfase forte"/>
    <w:qFormat/>
    <w:rPr>
      <w:b/>
      <w:bCs/>
    </w:rPr>
  </w:style>
  <w:style w:type="character" w:styleId="Smbolosdenumerao" w:customStyle="1">
    <w:name w:val="Símbolos de numeração"/>
    <w:qFormat/>
    <w:rPr/>
  </w:style>
  <w:style w:type="character" w:styleId="FootnoteCharacters">
    <w:name w:val="Footnote Characters"/>
    <w:basedOn w:val="DefaultParagraphFont"/>
    <w:semiHidden/>
    <w:unhideWhenUsed/>
    <w:qFormat/>
    <w:rPr>
      <w:vertAlign w:val="superscript"/>
    </w:rPr>
  </w:style>
  <w:style w:type="character" w:styleId="TextodebaloChar" w:customStyle="1">
    <w:name w:val="Texto de balão Char"/>
    <w:basedOn w:val="DefaultParagraphFont"/>
    <w:link w:val="Textodebalo"/>
    <w:uiPriority w:val="99"/>
    <w:semiHidden/>
    <w:qFormat/>
    <w:rsid w:val="00222120"/>
    <w:rPr>
      <w:rFonts w:ascii="Tahoma" w:hAnsi="Tahoma"/>
      <w:sz w:val="16"/>
      <w:szCs w:val="14"/>
    </w:rPr>
  </w:style>
  <w:style w:type="character" w:styleId="TextodenotaderodapChar" w:customStyle="1">
    <w:name w:val="Texto de nota de rodapé Char"/>
    <w:basedOn w:val="DefaultParagraphFont"/>
    <w:link w:val="Textodenotaderodap"/>
    <w:semiHidden/>
    <w:qFormat/>
    <w:rsid w:val="005542cf"/>
    <w:rPr>
      <w:rFonts w:eastAsia="Times New Roman" w:cs="Times New Roman"/>
      <w:kern w:val="0"/>
      <w:sz w:val="20"/>
      <w:szCs w:val="20"/>
      <w:lang w:eastAsia="pt-BR" w:bidi="ar-SA"/>
    </w:rPr>
  </w:style>
  <w:style w:type="character" w:styleId="Object" w:customStyle="1">
    <w:name w:val="object"/>
    <w:basedOn w:val="DefaultParagraphFont"/>
    <w:qFormat/>
    <w:rsid w:val="005542cf"/>
    <w:rPr/>
  </w:style>
  <w:style w:type="character" w:styleId="Ttulo8Char" w:customStyle="1">
    <w:name w:val="Título 8 Char"/>
    <w:basedOn w:val="DefaultParagraphFont"/>
    <w:link w:val="Ttulo8"/>
    <w:uiPriority w:val="9"/>
    <w:semiHidden/>
    <w:qFormat/>
    <w:rsid w:val="00670efe"/>
    <w:rPr>
      <w:rFonts w:ascii="Cambria" w:hAnsi="Cambria" w:eastAsia="" w:asciiTheme="majorHAnsi" w:eastAsiaTheme="majorEastAsia" w:hAnsiTheme="majorHAnsi"/>
      <w:color w:val="404040" w:themeColor="text1" w:themeTint="bf"/>
      <w:sz w:val="20"/>
      <w:szCs w:val="18"/>
    </w:rPr>
  </w:style>
  <w:style w:type="character" w:styleId="CorpodetextoChar" w:customStyle="1">
    <w:name w:val="Corpo de texto Char"/>
    <w:basedOn w:val="DefaultParagraphFont"/>
    <w:link w:val="Corpodetexto"/>
    <w:uiPriority w:val="99"/>
    <w:semiHidden/>
    <w:qFormat/>
    <w:rsid w:val="00d143c7"/>
    <w:rPr>
      <w:szCs w:val="21"/>
    </w:rPr>
  </w:style>
  <w:style w:type="character" w:styleId="TextodenotadefimChar" w:customStyle="1">
    <w:name w:val="Texto de nota de fim Char"/>
    <w:basedOn w:val="DefaultParagraphFont"/>
    <w:link w:val="Textodenotadefim"/>
    <w:uiPriority w:val="99"/>
    <w:semiHidden/>
    <w:qFormat/>
    <w:rsid w:val="00823ef6"/>
    <w:rPr>
      <w:sz w:val="20"/>
      <w:szCs w:val="18"/>
    </w:rPr>
  </w:style>
  <w:style w:type="character" w:styleId="Ncoradanotadefim">
    <w:name w:val="Âncora da nota de fim"/>
    <w:rPr>
      <w:vertAlign w:val="superscript"/>
    </w:rPr>
  </w:style>
  <w:style w:type="character" w:styleId="EndnoteCharacters">
    <w:name w:val="Endnote Characters"/>
    <w:basedOn w:val="DefaultParagraphFont"/>
    <w:uiPriority w:val="99"/>
    <w:semiHidden/>
    <w:unhideWhenUsed/>
    <w:qFormat/>
    <w:rsid w:val="00823ef6"/>
    <w:rPr>
      <w:vertAlign w:val="superscript"/>
    </w:rPr>
  </w:style>
  <w:style w:type="character" w:styleId="Strong">
    <w:name w:val="Strong"/>
    <w:basedOn w:val="DefaultParagraphFont"/>
    <w:uiPriority w:val="22"/>
    <w:qFormat/>
    <w:rsid w:val="00850bf0"/>
    <w:rPr>
      <w:b/>
      <w:bCs/>
    </w:rPr>
  </w:style>
  <w:style w:type="character" w:styleId="ListLabel1">
    <w:name w:val="ListLabel 1"/>
    <w:qFormat/>
    <w:rPr>
      <w:rFonts w:cs="Symbol"/>
    </w:rPr>
  </w:style>
  <w:style w:type="character" w:styleId="ListLabel2">
    <w:name w:val="ListLabel 2"/>
    <w:qFormat/>
    <w:rPr>
      <w:rFonts w:cs="Courier New"/>
    </w:rPr>
  </w:style>
  <w:style w:type="character" w:styleId="ListLabel3">
    <w:name w:val="ListLabel 3"/>
    <w:qFormat/>
    <w:rPr>
      <w:rFonts w:cs="Wingdings"/>
    </w:rPr>
  </w:style>
  <w:style w:type="character" w:styleId="ListLabel4">
    <w:name w:val="ListLabel 4"/>
    <w:qFormat/>
    <w:rPr>
      <w:rFonts w:cs="Symbol"/>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eastAsia="Times New Roman" w:cs="Times New Roman"/>
    </w:rPr>
  </w:style>
  <w:style w:type="character" w:styleId="ListLabel11">
    <w:name w:val="ListLabel 11"/>
    <w:qFormat/>
    <w:rPr>
      <w:rFonts w:ascii="Garamond" w:hAnsi="Garamond" w:cs="Garamond"/>
      <w:b/>
      <w:bCs/>
    </w:rPr>
  </w:style>
  <w:style w:type="character" w:styleId="ListLabel12">
    <w:name w:val="ListLabel 12"/>
    <w:qFormat/>
    <w:rPr>
      <w:rFonts w:ascii="Garamond" w:hAnsi="Garamond" w:cs="Garamond"/>
      <w:b/>
      <w:bCs/>
    </w:rPr>
  </w:style>
  <w:style w:type="character" w:styleId="ListLabel13">
    <w:name w:val="ListLabel 13"/>
    <w:qFormat/>
    <w:rPr>
      <w:rFonts w:eastAsia="OpenSymbol" w:cs="OpenSymbol"/>
    </w:rPr>
  </w:style>
  <w:style w:type="character" w:styleId="ListLabel14">
    <w:name w:val="ListLabel 14"/>
    <w:qFormat/>
    <w:rPr>
      <w:rFonts w:eastAsia="OpenSymbol" w:cs="OpenSymbol"/>
    </w:rPr>
  </w:style>
  <w:style w:type="character" w:styleId="ListLabel15">
    <w:name w:val="ListLabel 15"/>
    <w:qFormat/>
    <w:rPr>
      <w:rFonts w:eastAsia="OpenSymbol" w:cs="OpenSymbol"/>
    </w:rPr>
  </w:style>
  <w:style w:type="character" w:styleId="ListLabel16">
    <w:name w:val="ListLabel 16"/>
    <w:qFormat/>
    <w:rPr>
      <w:rFonts w:eastAsia="OpenSymbol" w:cs="OpenSymbol"/>
    </w:rPr>
  </w:style>
  <w:style w:type="character" w:styleId="ListLabel17">
    <w:name w:val="ListLabel 17"/>
    <w:qFormat/>
    <w:rPr>
      <w:rFonts w:eastAsia="OpenSymbol" w:cs="OpenSymbol"/>
    </w:rPr>
  </w:style>
  <w:style w:type="character" w:styleId="ListLabel18">
    <w:name w:val="ListLabel 18"/>
    <w:qFormat/>
    <w:rPr>
      <w:rFonts w:eastAsia="OpenSymbol" w:cs="OpenSymbol"/>
    </w:rPr>
  </w:style>
  <w:style w:type="character" w:styleId="ListLabel19">
    <w:name w:val="ListLabel 19"/>
    <w:qFormat/>
    <w:rPr>
      <w:rFonts w:eastAsia="OpenSymbol" w:cs="OpenSymbol"/>
    </w:rPr>
  </w:style>
  <w:style w:type="character" w:styleId="ListLabel20">
    <w:name w:val="ListLabel 20"/>
    <w:qFormat/>
    <w:rPr>
      <w:rFonts w:eastAsia="OpenSymbol" w:cs="OpenSymbol"/>
    </w:rPr>
  </w:style>
  <w:style w:type="character" w:styleId="ListLabel21">
    <w:name w:val="ListLabel 21"/>
    <w:qFormat/>
    <w:rPr>
      <w:rFonts w:eastAsia="OpenSymbol" w:cs="OpenSymbol"/>
    </w:rPr>
  </w:style>
  <w:style w:type="character" w:styleId="ListLabel22">
    <w:name w:val="ListLabel 22"/>
    <w:qFormat/>
    <w:rPr>
      <w:rFonts w:cs="Garamond"/>
      <w:b/>
      <w:bCs/>
    </w:rPr>
  </w:style>
  <w:style w:type="character" w:styleId="ListLabel23">
    <w:name w:val="ListLabel 23"/>
    <w:qFormat/>
    <w:rPr>
      <w:rFonts w:cs="Garamond"/>
      <w:b/>
      <w:bCs/>
    </w:rPr>
  </w:style>
  <w:style w:type="character" w:styleId="ListLabel24">
    <w:name w:val="ListLabel 24"/>
    <w:qFormat/>
    <w:rPr>
      <w:rFonts w:cs="Garamond"/>
      <w:b/>
      <w:bCs/>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sz w:val="20"/>
    </w:rPr>
  </w:style>
  <w:style w:type="character" w:styleId="ListLabel41">
    <w:name w:val="ListLabel 41"/>
    <w:qFormat/>
    <w:rPr>
      <w:sz w:val="20"/>
    </w:rPr>
  </w:style>
  <w:style w:type="character" w:styleId="ListLabel42">
    <w:name w:val="ListLabel 42"/>
    <w:qFormat/>
    <w:rPr>
      <w:sz w:val="20"/>
    </w:rPr>
  </w:style>
  <w:style w:type="character" w:styleId="ListLabel43">
    <w:name w:val="ListLabel 43"/>
    <w:qFormat/>
    <w:rPr>
      <w:sz w:val="20"/>
    </w:rPr>
  </w:style>
  <w:style w:type="character" w:styleId="ListLabel44">
    <w:name w:val="ListLabel 44"/>
    <w:qFormat/>
    <w:rPr>
      <w:sz w:val="20"/>
    </w:rPr>
  </w:style>
  <w:style w:type="character" w:styleId="ListLabel45">
    <w:name w:val="ListLabel 45"/>
    <w:qFormat/>
    <w:rPr>
      <w:sz w:val="20"/>
    </w:rPr>
  </w:style>
  <w:style w:type="character" w:styleId="ListLabel46">
    <w:name w:val="ListLabel 46"/>
    <w:qFormat/>
    <w:rPr>
      <w:sz w:val="2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Caracteresdenotadefim">
    <w:name w:val="Caracteres de nota de fim"/>
    <w:qFormat/>
    <w:rPr/>
  </w:style>
  <w:style w:type="character" w:styleId="WW8Num9z0">
    <w:name w:val="WW8Num9z0"/>
    <w:qFormat/>
    <w:rPr>
      <w:rFonts w:ascii="Symbol" w:hAnsi="Symbol" w:cs="OpenSymbol;Arial Unicode MS"/>
    </w:rPr>
  </w:style>
  <w:style w:type="character" w:styleId="WW8Num9z1">
    <w:name w:val="WW8Num9z1"/>
    <w:qFormat/>
    <w:rPr>
      <w:rFonts w:ascii="OpenSymbol;Arial Unicode MS" w:hAnsi="OpenSymbol;Arial Unicode MS" w:cs="OpenSymbol;Arial Unicode MS"/>
    </w:rPr>
  </w:style>
  <w:style w:type="character" w:styleId="ListLabel58">
    <w:name w:val="ListLabel 58"/>
    <w:qFormat/>
    <w:rPr>
      <w:rFonts w:cs="Times New Roman"/>
    </w:rPr>
  </w:style>
  <w:style w:type="character" w:styleId="ListLabel59">
    <w:name w:val="ListLabel 59"/>
    <w:qFormat/>
    <w:rPr>
      <w:rFonts w:ascii="Garamond" w:hAnsi="Garamond" w:cs="Garamond"/>
      <w:b/>
      <w:bCs/>
    </w:rPr>
  </w:style>
  <w:style w:type="character" w:styleId="ListLabel60">
    <w:name w:val="ListLabel 60"/>
    <w:qFormat/>
    <w:rPr>
      <w:rFonts w:ascii="Garamond" w:hAnsi="Garamond" w:cs="Garamond"/>
      <w:b/>
      <w:bCs/>
    </w:rPr>
  </w:style>
  <w:style w:type="character" w:styleId="ListLabel61">
    <w:name w:val="ListLabel 61"/>
    <w:qFormat/>
    <w:rPr>
      <w:rFonts w:ascii="Garamond" w:hAnsi="Garamond" w:cs="Symbol"/>
    </w:rPr>
  </w:style>
  <w:style w:type="character" w:styleId="ListLabel62">
    <w:name w:val="ListLabel 62"/>
    <w:qFormat/>
    <w:rPr>
      <w:rFonts w:cs="Courier New"/>
    </w:rPr>
  </w:style>
  <w:style w:type="character" w:styleId="ListLabel63">
    <w:name w:val="ListLabel 63"/>
    <w:qFormat/>
    <w:rPr>
      <w:rFonts w:cs="Wingdings"/>
    </w:rPr>
  </w:style>
  <w:style w:type="character" w:styleId="ListLabel64">
    <w:name w:val="ListLabel 64"/>
    <w:qFormat/>
    <w:rPr>
      <w:rFonts w:cs="Symbol"/>
    </w:rPr>
  </w:style>
  <w:style w:type="character" w:styleId="ListLabel65">
    <w:name w:val="ListLabel 65"/>
    <w:qFormat/>
    <w:rPr>
      <w:rFonts w:cs="Courier New"/>
    </w:rPr>
  </w:style>
  <w:style w:type="character" w:styleId="ListLabel66">
    <w:name w:val="ListLabel 66"/>
    <w:qFormat/>
    <w:rPr>
      <w:rFonts w:cs="Wingdings"/>
    </w:rPr>
  </w:style>
  <w:style w:type="character" w:styleId="ListLabel67">
    <w:name w:val="ListLabel 67"/>
    <w:qFormat/>
    <w:rPr>
      <w:rFonts w:cs="Symbol"/>
    </w:rPr>
  </w:style>
  <w:style w:type="character" w:styleId="ListLabel68">
    <w:name w:val="ListLabel 68"/>
    <w:qFormat/>
    <w:rPr>
      <w:rFonts w:cs="Courier New"/>
    </w:rPr>
  </w:style>
  <w:style w:type="character" w:styleId="ListLabel69">
    <w:name w:val="ListLabel 69"/>
    <w:qFormat/>
    <w:rPr>
      <w:rFonts w:cs="Wingdings"/>
    </w:rPr>
  </w:style>
  <w:style w:type="character" w:styleId="ListLabel70">
    <w:name w:val="ListLabel 70"/>
    <w:qFormat/>
    <w:rPr>
      <w:rFonts w:ascii="Garamond" w:hAnsi="Garamond" w:cs="Symbol"/>
    </w:rPr>
  </w:style>
  <w:style w:type="character" w:styleId="ListLabel71">
    <w:name w:val="ListLabel 71"/>
    <w:qFormat/>
    <w:rPr>
      <w:rFonts w:cs="Courier New"/>
    </w:rPr>
  </w:style>
  <w:style w:type="character" w:styleId="ListLabel72">
    <w:name w:val="ListLabel 72"/>
    <w:qFormat/>
    <w:rPr>
      <w:rFonts w:cs="Wingdings"/>
    </w:rPr>
  </w:style>
  <w:style w:type="character" w:styleId="ListLabel73">
    <w:name w:val="ListLabel 73"/>
    <w:qFormat/>
    <w:rPr>
      <w:rFonts w:cs="Symbol"/>
    </w:rPr>
  </w:style>
  <w:style w:type="character" w:styleId="ListLabel74">
    <w:name w:val="ListLabel 74"/>
    <w:qFormat/>
    <w:rPr>
      <w:rFonts w:cs="Courier New"/>
    </w:rPr>
  </w:style>
  <w:style w:type="character" w:styleId="ListLabel75">
    <w:name w:val="ListLabel 75"/>
    <w:qFormat/>
    <w:rPr>
      <w:rFonts w:cs="Wingdings"/>
    </w:rPr>
  </w:style>
  <w:style w:type="character" w:styleId="ListLabel76">
    <w:name w:val="ListLabel 76"/>
    <w:qFormat/>
    <w:rPr>
      <w:rFonts w:cs="Symbol"/>
    </w:rPr>
  </w:style>
  <w:style w:type="character" w:styleId="ListLabel77">
    <w:name w:val="ListLabel 77"/>
    <w:qFormat/>
    <w:rPr>
      <w:rFonts w:cs="Courier New"/>
    </w:rPr>
  </w:style>
  <w:style w:type="character" w:styleId="ListLabel78">
    <w:name w:val="ListLabel 78"/>
    <w:qFormat/>
    <w:rPr>
      <w:rFonts w:cs="Wingdings"/>
    </w:rPr>
  </w:style>
  <w:style w:type="character" w:styleId="ListLabel79">
    <w:name w:val="ListLabel 79"/>
    <w:qFormat/>
    <w:rPr>
      <w:rFonts w:ascii="Garamond" w:hAnsi="Garamond" w:cs="Symbol"/>
    </w:rPr>
  </w:style>
  <w:style w:type="character" w:styleId="ListLabel80">
    <w:name w:val="ListLabel 80"/>
    <w:qFormat/>
    <w:rPr>
      <w:rFonts w:cs="Courier New"/>
    </w:rPr>
  </w:style>
  <w:style w:type="character" w:styleId="ListLabel81">
    <w:name w:val="ListLabel 81"/>
    <w:qFormat/>
    <w:rPr>
      <w:rFonts w:cs="Wingdings"/>
    </w:rPr>
  </w:style>
  <w:style w:type="character" w:styleId="ListLabel82">
    <w:name w:val="ListLabel 82"/>
    <w:qFormat/>
    <w:rPr>
      <w:rFonts w:cs="Symbol"/>
    </w:rPr>
  </w:style>
  <w:style w:type="character" w:styleId="ListLabel83">
    <w:name w:val="ListLabel 83"/>
    <w:qFormat/>
    <w:rPr>
      <w:rFonts w:cs="Courier New"/>
    </w:rPr>
  </w:style>
  <w:style w:type="character" w:styleId="ListLabel84">
    <w:name w:val="ListLabel 84"/>
    <w:qFormat/>
    <w:rPr>
      <w:rFonts w:cs="Wingdings"/>
    </w:rPr>
  </w:style>
  <w:style w:type="character" w:styleId="ListLabel85">
    <w:name w:val="ListLabel 85"/>
    <w:qFormat/>
    <w:rPr>
      <w:rFonts w:cs="Symbol"/>
    </w:rPr>
  </w:style>
  <w:style w:type="character" w:styleId="ListLabel86">
    <w:name w:val="ListLabel 86"/>
    <w:qFormat/>
    <w:rPr>
      <w:rFonts w:cs="Courier New"/>
    </w:rPr>
  </w:style>
  <w:style w:type="character" w:styleId="ListLabel87">
    <w:name w:val="ListLabel 87"/>
    <w:qFormat/>
    <w:rPr>
      <w:rFonts w:cs="Wingdings"/>
    </w:rPr>
  </w:style>
  <w:style w:type="character" w:styleId="ListLabel88">
    <w:name w:val="ListLabel 88"/>
    <w:qFormat/>
    <w:rPr>
      <w:rFonts w:ascii="Garamond" w:hAnsi="Garamond" w:cs="Symbol"/>
    </w:rPr>
  </w:style>
  <w:style w:type="character" w:styleId="ListLabel89">
    <w:name w:val="ListLabel 89"/>
    <w:qFormat/>
    <w:rPr>
      <w:rFonts w:cs="Courier New"/>
    </w:rPr>
  </w:style>
  <w:style w:type="character" w:styleId="ListLabel90">
    <w:name w:val="ListLabel 90"/>
    <w:qFormat/>
    <w:rPr>
      <w:rFonts w:cs="Wingdings"/>
    </w:rPr>
  </w:style>
  <w:style w:type="character" w:styleId="ListLabel91">
    <w:name w:val="ListLabel 91"/>
    <w:qFormat/>
    <w:rPr>
      <w:rFonts w:cs="Symbol"/>
    </w:rPr>
  </w:style>
  <w:style w:type="character" w:styleId="ListLabel92">
    <w:name w:val="ListLabel 92"/>
    <w:qFormat/>
    <w:rPr>
      <w:rFonts w:cs="Courier New"/>
    </w:rPr>
  </w:style>
  <w:style w:type="character" w:styleId="ListLabel93">
    <w:name w:val="ListLabel 93"/>
    <w:qFormat/>
    <w:rPr>
      <w:rFonts w:cs="Wingdings"/>
    </w:rPr>
  </w:style>
  <w:style w:type="character" w:styleId="ListLabel94">
    <w:name w:val="ListLabel 94"/>
    <w:qFormat/>
    <w:rPr>
      <w:rFonts w:cs="Symbol"/>
    </w:rPr>
  </w:style>
  <w:style w:type="character" w:styleId="ListLabel95">
    <w:name w:val="ListLabel 95"/>
    <w:qFormat/>
    <w:rPr>
      <w:rFonts w:cs="Courier New"/>
    </w:rPr>
  </w:style>
  <w:style w:type="character" w:styleId="ListLabel96">
    <w:name w:val="ListLabel 96"/>
    <w:qFormat/>
    <w:rPr>
      <w:rFonts w:cs="Wingdings"/>
    </w:rPr>
  </w:style>
  <w:style w:type="character" w:styleId="ListLabel97">
    <w:name w:val="ListLabel 97"/>
    <w:qFormat/>
    <w:rPr>
      <w:rFonts w:ascii="Garamond" w:hAnsi="Garamond" w:cs="OpenSymbol;Arial Unicode MS"/>
      <w:b w:val="false"/>
    </w:rPr>
  </w:style>
  <w:style w:type="character" w:styleId="ListLabel98">
    <w:name w:val="ListLabel 98"/>
    <w:qFormat/>
    <w:rPr>
      <w:rFonts w:cs="OpenSymbol;Arial Unicode MS"/>
    </w:rPr>
  </w:style>
  <w:style w:type="character" w:styleId="ListLabel99">
    <w:name w:val="ListLabel 99"/>
    <w:qFormat/>
    <w:rPr>
      <w:rFonts w:cs="OpenSymbol;Arial Unicode MS"/>
    </w:rPr>
  </w:style>
  <w:style w:type="character" w:styleId="ListLabel100">
    <w:name w:val="ListLabel 100"/>
    <w:qFormat/>
    <w:rPr>
      <w:rFonts w:cs="OpenSymbol;Arial Unicode MS"/>
    </w:rPr>
  </w:style>
  <w:style w:type="character" w:styleId="ListLabel101">
    <w:name w:val="ListLabel 101"/>
    <w:qFormat/>
    <w:rPr>
      <w:rFonts w:cs="OpenSymbol;Arial Unicode MS"/>
    </w:rPr>
  </w:style>
  <w:style w:type="character" w:styleId="ListLabel102">
    <w:name w:val="ListLabel 102"/>
    <w:qFormat/>
    <w:rPr>
      <w:rFonts w:cs="OpenSymbol;Arial Unicode MS"/>
    </w:rPr>
  </w:style>
  <w:style w:type="character" w:styleId="ListLabel103">
    <w:name w:val="ListLabel 103"/>
    <w:qFormat/>
    <w:rPr>
      <w:rFonts w:cs="OpenSymbol;Arial Unicode MS"/>
    </w:rPr>
  </w:style>
  <w:style w:type="character" w:styleId="ListLabel104">
    <w:name w:val="ListLabel 104"/>
    <w:qFormat/>
    <w:rPr>
      <w:rFonts w:cs="OpenSymbol;Arial Unicode MS"/>
    </w:rPr>
  </w:style>
  <w:style w:type="character" w:styleId="ListLabel105">
    <w:name w:val="ListLabel 105"/>
    <w:qFormat/>
    <w:rPr>
      <w:rFonts w:cs="OpenSymbol;Arial Unicode MS"/>
    </w:rPr>
  </w:style>
  <w:style w:type="character" w:styleId="WW8Num8z0">
    <w:name w:val="WW8Num8z0"/>
    <w:qFormat/>
    <w:rPr>
      <w:rFonts w:ascii="Symbol" w:hAnsi="Symbol" w:cs="Symbol"/>
    </w:rPr>
  </w:style>
  <w:style w:type="character" w:styleId="WW8Num8z1">
    <w:name w:val="WW8Num8z1"/>
    <w:qFormat/>
    <w:rPr>
      <w:rFonts w:ascii="Courier New" w:hAnsi="Courier New" w:cs="Courier New"/>
    </w:rPr>
  </w:style>
  <w:style w:type="character" w:styleId="WW8Num8z2">
    <w:name w:val="WW8Num8z2"/>
    <w:qFormat/>
    <w:rPr>
      <w:rFonts w:ascii="Wingdings" w:hAnsi="Wingdings" w:cs="Wingdings"/>
    </w:rPr>
  </w:style>
  <w:style w:type="character" w:styleId="WW8Num14z0">
    <w:name w:val="WW8Num14z0"/>
    <w:qFormat/>
    <w:rPr>
      <w:rFonts w:ascii="Symbol" w:hAnsi="Symbol" w:cs="Symbol"/>
    </w:rPr>
  </w:style>
  <w:style w:type="character" w:styleId="WW8Num14z1">
    <w:name w:val="WW8Num14z1"/>
    <w:qFormat/>
    <w:rPr>
      <w:rFonts w:ascii="Courier New" w:hAnsi="Courier New" w:cs="Courier New"/>
    </w:rPr>
  </w:style>
  <w:style w:type="character" w:styleId="WW8Num14z2">
    <w:name w:val="WW8Num14z2"/>
    <w:qFormat/>
    <w:rPr>
      <w:rFonts w:ascii="Wingdings" w:hAnsi="Wingdings" w:cs="Wingdings"/>
    </w:rPr>
  </w:style>
  <w:style w:type="character" w:styleId="WW8Num16z0">
    <w:name w:val="WW8Num16z0"/>
    <w:qFormat/>
    <w:rPr>
      <w:rFonts w:ascii="Symbol" w:hAnsi="Symbol" w:cs="Symbol"/>
      <w:sz w:val="20"/>
    </w:rPr>
  </w:style>
  <w:style w:type="character" w:styleId="WW8Num16z1">
    <w:name w:val="WW8Num16z1"/>
    <w:qFormat/>
    <w:rPr>
      <w:rFonts w:ascii="Courier New" w:hAnsi="Courier New" w:cs="Courier New"/>
      <w:sz w:val="20"/>
    </w:rPr>
  </w:style>
  <w:style w:type="character" w:styleId="WW8Num16z2">
    <w:name w:val="WW8Num16z2"/>
    <w:qFormat/>
    <w:rPr>
      <w:rFonts w:ascii="Wingdings" w:hAnsi="Wingdings" w:cs="Wingdings"/>
      <w:sz w:val="20"/>
    </w:rPr>
  </w:style>
  <w:style w:type="paragraph" w:styleId="Ttulo">
    <w:name w:val="Título"/>
    <w:basedOn w:val="Normal"/>
    <w:next w:val="Corpodetexto"/>
    <w:qFormat/>
    <w:pPr>
      <w:keepNext w:val="true"/>
      <w:spacing w:before="240" w:after="120"/>
    </w:pPr>
    <w:rPr>
      <w:rFonts w:ascii="Liberation Sans" w:hAnsi="Liberation Sans" w:eastAsia="Microsoft YaHei" w:cs="Arial"/>
      <w:sz w:val="28"/>
      <w:szCs w:val="28"/>
    </w:rPr>
  </w:style>
  <w:style w:type="paragraph" w:styleId="Corpodetexto">
    <w:name w:val="Body Text"/>
    <w:basedOn w:val="Normal"/>
    <w:link w:val="CorpodetextoChar"/>
    <w:uiPriority w:val="99"/>
    <w:semiHidden/>
    <w:unhideWhenUsed/>
    <w:rsid w:val="00d143c7"/>
    <w:pPr>
      <w:spacing w:before="0" w:after="120"/>
    </w:pPr>
    <w:rPr>
      <w:szCs w:val="21"/>
    </w:rPr>
  </w:style>
  <w:style w:type="paragraph" w:styleId="Lista">
    <w:name w:val="List"/>
    <w:pPr>
      <w:widowControl w:val="false"/>
    </w:pPr>
    <w:rPr>
      <w:rFonts w:cs="Mangal" w:ascii="Times New Roman" w:hAnsi="Times New Roman" w:eastAsia="SimSun"/>
      <w:color w:val="auto"/>
      <w:kern w:val="2"/>
      <w:sz w:val="24"/>
      <w:szCs w:val="24"/>
      <w:lang w:val="pt-BR" w:eastAsia="zh-CN" w:bidi="hi-IN"/>
    </w:rPr>
  </w:style>
  <w:style w:type="paragraph" w:styleId="Legenda">
    <w:name w:val="Caption"/>
    <w:basedOn w:val="Normal"/>
    <w:qFormat/>
    <w:pPr>
      <w:suppressLineNumbers/>
      <w:spacing w:before="120" w:after="120"/>
    </w:pPr>
    <w:rPr>
      <w:rFonts w:cs="Arial"/>
      <w:i/>
      <w:iCs/>
      <w:sz w:val="24"/>
      <w:szCs w:val="24"/>
    </w:rPr>
  </w:style>
  <w:style w:type="paragraph" w:styleId="Ndice" w:customStyle="1">
    <w:name w:val="Índice"/>
    <w:qFormat/>
    <w:pPr>
      <w:widowControl w:val="false"/>
      <w:suppressLineNumbers/>
    </w:pPr>
    <w:rPr>
      <w:rFonts w:cs="Mangal" w:ascii="Times New Roman" w:hAnsi="Times New Roman" w:eastAsia="SimSun"/>
      <w:color w:val="auto"/>
      <w:kern w:val="2"/>
      <w:sz w:val="24"/>
      <w:szCs w:val="24"/>
      <w:lang w:val="pt-BR" w:eastAsia="zh-CN" w:bidi="hi-IN"/>
    </w:rPr>
  </w:style>
  <w:style w:type="paragraph" w:styleId="Standard" w:customStyle="1">
    <w:name w:val="Standard"/>
    <w:qFormat/>
    <w:pPr>
      <w:widowControl/>
      <w:bidi w:val="0"/>
      <w:jc w:val="left"/>
    </w:pPr>
    <w:rPr>
      <w:rFonts w:ascii="Times New Roman" w:hAnsi="Times New Roman" w:eastAsia="Times New Roman" w:cs="Times New Roman"/>
      <w:color w:val="auto"/>
      <w:kern w:val="2"/>
      <w:sz w:val="24"/>
      <w:szCs w:val="24"/>
      <w:lang w:val="pt-BR" w:eastAsia="zh-CN" w:bidi="ar-SA"/>
    </w:rPr>
  </w:style>
  <w:style w:type="paragraph" w:styleId="Ttulododocumento">
    <w:name w:val="Title"/>
    <w:basedOn w:val="Standard"/>
    <w:qFormat/>
    <w:pPr>
      <w:keepNext w:val="true"/>
      <w:spacing w:before="240" w:after="120"/>
    </w:pPr>
    <w:rPr>
      <w:rFonts w:ascii="Arial" w:hAnsi="Arial" w:eastAsia="SimSun" w:cs="Mangal"/>
      <w:sz w:val="28"/>
      <w:szCs w:val="28"/>
    </w:rPr>
  </w:style>
  <w:style w:type="paragraph" w:styleId="Textbody" w:customStyle="1">
    <w:name w:val="Text body"/>
    <w:basedOn w:val="Standard"/>
    <w:qFormat/>
    <w:pPr>
      <w:spacing w:before="0" w:after="120"/>
    </w:pPr>
    <w:rPr/>
  </w:style>
  <w:style w:type="paragraph" w:styleId="Subttulo">
    <w:name w:val="Subtitle"/>
    <w:basedOn w:val="Ttulododocumento"/>
    <w:qFormat/>
    <w:pPr>
      <w:jc w:val="center"/>
    </w:pPr>
    <w:rPr>
      <w:i/>
      <w:iCs/>
    </w:rPr>
  </w:style>
  <w:style w:type="paragraph" w:styleId="Caption">
    <w:name w:val="caption"/>
    <w:basedOn w:val="Standard"/>
    <w:qFormat/>
    <w:pPr>
      <w:suppressLineNumbers/>
      <w:spacing w:before="120" w:after="120"/>
    </w:pPr>
    <w:rPr>
      <w:rFonts w:cs="Mangal"/>
      <w:i/>
      <w:iCs/>
    </w:rPr>
  </w:style>
  <w:style w:type="paragraph" w:styleId="Footnote" w:customStyle="1">
    <w:name w:val="Footnote"/>
    <w:basedOn w:val="Standard"/>
    <w:qFormat/>
    <w:pPr/>
    <w:rPr>
      <w:sz w:val="20"/>
      <w:szCs w:val="20"/>
    </w:rPr>
  </w:style>
  <w:style w:type="paragraph" w:styleId="BodyText3">
    <w:name w:val="Body Text 3"/>
    <w:basedOn w:val="Standard"/>
    <w:qFormat/>
    <w:pPr>
      <w:tabs>
        <w:tab w:val="left" w:pos="3312" w:leader="none"/>
      </w:tabs>
      <w:jc w:val="both"/>
    </w:pPr>
    <w:rPr>
      <w:rFonts w:ascii="Tahoma" w:hAnsi="Tahoma" w:cs="Tahoma"/>
    </w:rPr>
  </w:style>
  <w:style w:type="paragraph" w:styleId="Cabealho">
    <w:name w:val="Header"/>
    <w:basedOn w:val="Standard"/>
    <w:pPr>
      <w:tabs>
        <w:tab w:val="center" w:pos="4419" w:leader="none"/>
        <w:tab w:val="right" w:pos="8838" w:leader="none"/>
      </w:tabs>
    </w:pPr>
    <w:rPr/>
  </w:style>
  <w:style w:type="paragraph" w:styleId="Rodap">
    <w:name w:val="Footer"/>
    <w:basedOn w:val="Standard"/>
    <w:pPr>
      <w:tabs>
        <w:tab w:val="center" w:pos="4419" w:leader="none"/>
        <w:tab w:val="right" w:pos="8838" w:leader="none"/>
      </w:tabs>
    </w:pPr>
    <w:rPr/>
  </w:style>
  <w:style w:type="paragraph" w:styleId="NormalWeb">
    <w:name w:val="Normal (Web)"/>
    <w:basedOn w:val="Standard"/>
    <w:qFormat/>
    <w:pPr>
      <w:spacing w:before="280" w:after="280"/>
    </w:pPr>
    <w:rPr>
      <w:rFonts w:ascii="Arial Unicode MS" w:hAnsi="Arial Unicode MS" w:eastAsia="Arial Unicode MS" w:cs="Arial Unicode MS"/>
    </w:rPr>
  </w:style>
  <w:style w:type="paragraph" w:styleId="Contedodatabela" w:customStyle="1">
    <w:name w:val="Conteúdo da tabela"/>
    <w:basedOn w:val="Standard"/>
    <w:qFormat/>
    <w:pPr>
      <w:suppressLineNumbers/>
    </w:pPr>
    <w:rPr/>
  </w:style>
  <w:style w:type="paragraph" w:styleId="Ttulodetabela" w:customStyle="1">
    <w:name w:val="Título de tabela"/>
    <w:basedOn w:val="Standard"/>
    <w:qFormat/>
    <w:pPr>
      <w:suppressLineNumbers/>
      <w:jc w:val="center"/>
    </w:pPr>
    <w:rPr>
      <w:b/>
      <w:bCs/>
    </w:rPr>
  </w:style>
  <w:style w:type="paragraph" w:styleId="BodyTextIndent3">
    <w:name w:val="Body Text Indent 3"/>
    <w:basedOn w:val="Standard"/>
    <w:qFormat/>
    <w:pPr>
      <w:ind w:left="240" w:firstLine="468"/>
      <w:jc w:val="both"/>
    </w:pPr>
    <w:rPr/>
  </w:style>
  <w:style w:type="paragraph" w:styleId="Msobodyte0pt" w:customStyle="1">
    <w:name w:val="msobodyte.0pt"/>
    <w:basedOn w:val="Standard"/>
    <w:qFormat/>
    <w:pPr>
      <w:spacing w:before="280" w:after="280"/>
    </w:pPr>
    <w:rPr>
      <w:rFonts w:ascii="Arial Unicode MS" w:hAnsi="Arial Unicode MS" w:eastAsia="Arial Unicode MS" w:cs="Arial Unicode MS"/>
      <w:color w:val="000000"/>
    </w:rPr>
  </w:style>
  <w:style w:type="paragraph" w:styleId="Msobodytex0pt" w:customStyle="1">
    <w:name w:val="msobodytex.0pt"/>
    <w:basedOn w:val="Standard"/>
    <w:qFormat/>
    <w:pPr>
      <w:spacing w:before="280" w:after="280"/>
    </w:pPr>
    <w:rPr>
      <w:rFonts w:ascii="Arial Unicode MS" w:hAnsi="Arial Unicode MS" w:eastAsia="Arial Unicode MS" w:cs="Arial Unicode MS"/>
      <w:color w:val="000000"/>
    </w:rPr>
  </w:style>
  <w:style w:type="paragraph" w:styleId="PlainText">
    <w:name w:val="Plain Text"/>
    <w:basedOn w:val="Standard"/>
    <w:qFormat/>
    <w:pPr/>
    <w:rPr>
      <w:rFonts w:ascii="Courier New" w:hAnsi="Courier New" w:cs="Courier New"/>
      <w:sz w:val="20"/>
      <w:szCs w:val="20"/>
    </w:rPr>
  </w:style>
  <w:style w:type="paragraph" w:styleId="Style31" w:customStyle="1">
    <w:name w:val="style3"/>
    <w:basedOn w:val="Standard"/>
    <w:qFormat/>
    <w:pPr>
      <w:spacing w:before="280" w:after="280"/>
    </w:pPr>
    <w:rPr/>
  </w:style>
  <w:style w:type="paragraph" w:styleId="Textbodyindent" w:customStyle="1">
    <w:name w:val="Text body indent"/>
    <w:basedOn w:val="Standard"/>
    <w:qFormat/>
    <w:pPr>
      <w:ind w:left="1701" w:firstLine="709"/>
      <w:jc w:val="both"/>
    </w:pPr>
    <w:rPr>
      <w:rFonts w:ascii="Garamond" w:hAnsi="Garamond" w:cs="Garamond"/>
    </w:rPr>
  </w:style>
  <w:style w:type="paragraph" w:styleId="BodyTextIndent2">
    <w:name w:val="Body Text Indent 2"/>
    <w:basedOn w:val="Standard"/>
    <w:qFormat/>
    <w:pPr>
      <w:ind w:firstLine="374"/>
      <w:jc w:val="both"/>
    </w:pPr>
    <w:rPr>
      <w:rFonts w:ascii="Garamond" w:hAnsi="Garamond" w:cs="Garamond"/>
    </w:rPr>
  </w:style>
  <w:style w:type="paragraph" w:styleId="Contedodoquadro" w:customStyle="1">
    <w:name w:val="Conteúdo do quadro"/>
    <w:basedOn w:val="Textbody"/>
    <w:qFormat/>
    <w:pPr/>
    <w:rPr/>
  </w:style>
  <w:style w:type="paragraph" w:styleId="BalloonText">
    <w:name w:val="Balloon Text"/>
    <w:basedOn w:val="Normal"/>
    <w:link w:val="TextodebaloChar"/>
    <w:uiPriority w:val="99"/>
    <w:semiHidden/>
    <w:unhideWhenUsed/>
    <w:qFormat/>
    <w:rsid w:val="00222120"/>
    <w:pPr/>
    <w:rPr>
      <w:rFonts w:ascii="Tahoma" w:hAnsi="Tahoma"/>
      <w:sz w:val="16"/>
      <w:szCs w:val="14"/>
    </w:rPr>
  </w:style>
  <w:style w:type="paragraph" w:styleId="ListParagraph">
    <w:name w:val="List Paragraph"/>
    <w:basedOn w:val="Normal"/>
    <w:uiPriority w:val="34"/>
    <w:qFormat/>
    <w:rsid w:val="00222120"/>
    <w:pPr>
      <w:spacing w:before="0" w:after="0"/>
      <w:ind w:left="720" w:hanging="0"/>
      <w:contextualSpacing/>
    </w:pPr>
    <w:rPr>
      <w:szCs w:val="21"/>
    </w:rPr>
  </w:style>
  <w:style w:type="paragraph" w:styleId="Notaderodap">
    <w:name w:val="Footnote Text"/>
    <w:basedOn w:val="Normal"/>
    <w:link w:val="TextodenotaderodapChar"/>
    <w:semiHidden/>
    <w:rsid w:val="005542cf"/>
    <w:pPr>
      <w:widowControl/>
      <w:suppressAutoHyphens w:val="false"/>
      <w:textAlignment w:val="auto"/>
    </w:pPr>
    <w:rPr>
      <w:rFonts w:eastAsia="Times New Roman" w:cs="Times New Roman"/>
      <w:kern w:val="0"/>
      <w:sz w:val="20"/>
      <w:szCs w:val="20"/>
      <w:lang w:eastAsia="pt-BR" w:bidi="ar-SA"/>
    </w:rPr>
  </w:style>
  <w:style w:type="paragraph" w:styleId="Notadefim">
    <w:name w:val="Endnote Text"/>
    <w:basedOn w:val="Normal"/>
    <w:link w:val="TextodenotadefimChar"/>
    <w:uiPriority w:val="99"/>
    <w:semiHidden/>
    <w:unhideWhenUsed/>
    <w:rsid w:val="00823ef6"/>
    <w:pPr/>
    <w:rPr>
      <w:sz w:val="20"/>
      <w:szCs w:val="18"/>
    </w:rPr>
  </w:style>
  <w:style w:type="paragraph" w:styleId="Western" w:customStyle="1">
    <w:name w:val="western"/>
    <w:basedOn w:val="Normal"/>
    <w:qFormat/>
    <w:rsid w:val="00b91e10"/>
    <w:pPr>
      <w:widowControl/>
      <w:suppressAutoHyphens w:val="false"/>
      <w:spacing w:beforeAutospacing="1" w:after="119"/>
      <w:textAlignment w:val="auto"/>
    </w:pPr>
    <w:rPr>
      <w:rFonts w:eastAsia="Times New Roman" w:cs="Times New Roman"/>
      <w:color w:val="000000"/>
      <w:kern w:val="0"/>
      <w:lang w:eastAsia="pt-BR" w:bidi="ar-SA"/>
    </w:rPr>
  </w:style>
  <w:style w:type="paragraph" w:styleId="Alignjustify">
    <w:name w:val="alignjustify"/>
    <w:basedOn w:val="Normal"/>
    <w:qFormat/>
    <w:pPr>
      <w:spacing w:before="280" w:after="280"/>
    </w:pPr>
    <w:rPr/>
  </w:style>
  <w:style w:type="paragraph" w:styleId="Recuodecorpodetexto3">
    <w:name w:val="Recuo de corpo de texto 3"/>
    <w:basedOn w:val="Normal"/>
    <w:qFormat/>
    <w:pPr>
      <w:ind w:left="240" w:right="0" w:firstLine="468"/>
      <w:jc w:val="both"/>
    </w:pPr>
    <w:rPr/>
  </w:style>
  <w:style w:type="paragraph" w:styleId="Corpodetextorecuado">
    <w:name w:val="Body Text Indent"/>
    <w:basedOn w:val="Normal"/>
    <w:pPr>
      <w:spacing w:lineRule="auto" w:line="360"/>
      <w:ind w:left="1418" w:hanging="0"/>
      <w:jc w:val="both"/>
    </w:pPr>
    <w:rPr>
      <w:rFonts w:ascii="Arial" w:hAnsi="Arial" w:cs="Arial"/>
      <w:b/>
      <w:i/>
      <w:sz w:val="22"/>
      <w:szCs w:val="20"/>
    </w:rPr>
  </w:style>
  <w:style w:type="paragraph" w:styleId="Default">
    <w:name w:val="Default"/>
    <w:qFormat/>
    <w:pPr>
      <w:widowControl/>
      <w:autoSpaceDE w:val="false"/>
    </w:pPr>
    <w:rPr>
      <w:rFonts w:ascii="Times New Roman" w:hAnsi="Times New Roman" w:eastAsia="Times New Roman" w:cs="Times New Roman"/>
      <w:color w:val="000000"/>
      <w:kern w:val="2"/>
      <w:sz w:val="24"/>
      <w:szCs w:val="24"/>
      <w:lang w:val="pt-BR" w:bidi="ar-SA" w:eastAsia="zh-CN"/>
    </w:rPr>
  </w:style>
  <w:style w:type="numbering" w:styleId="NoList" w:default="1">
    <w:name w:val="No List"/>
    <w:uiPriority w:val="99"/>
    <w:semiHidden/>
    <w:unhideWhenUsed/>
    <w:qFormat/>
  </w:style>
  <w:style w:type="numbering" w:styleId="WW8Num1" w:customStyle="1">
    <w:name w:val="WW8Num1"/>
    <w:qFormat/>
  </w:style>
  <w:style w:type="numbering" w:styleId="WW8Num2" w:customStyle="1">
    <w:name w:val="WW8Num2"/>
    <w:qFormat/>
  </w:style>
  <w:style w:type="numbering" w:styleId="WW8Num3" w:customStyle="1">
    <w:name w:val="WW8Num3"/>
    <w:qFormat/>
  </w:style>
  <w:style w:type="numbering" w:styleId="WW8Num4" w:customStyle="1">
    <w:name w:val="WW8Num4"/>
    <w:qFormat/>
  </w:style>
  <w:style w:type="numbering" w:styleId="WW8Num9">
    <w:name w:val="WW8Num9"/>
    <w:qFormat/>
  </w:style>
  <w:style w:type="numbering" w:styleId="WW8Num8">
    <w:name w:val="WW8Num8"/>
    <w:qFormat/>
  </w:style>
  <w:style w:type="numbering" w:styleId="WW8Num14">
    <w:name w:val="WW8Num14"/>
    <w:qFormat/>
  </w:style>
  <w:style w:type="numbering" w:styleId="WW8Num16">
    <w:name w:val="WW8Num16"/>
    <w:qFormat/>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table" w:styleId="Tabelacomgrade">
    <w:name w:val="Table Grid"/>
    <w:basedOn w:val="Tabelanormal"/>
    <w:uiPriority w:val="59"/>
    <w:rsid w:val="005542c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wmf"/><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jpe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notes" Target="footnotes.xm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16.png"/>
</Relationships>
</file>

<file path=word/_rels/header1.xml.rels><?xml version="1.0" encoding="UTF-8"?>
<Relationships xmlns="http://schemas.openxmlformats.org/package/2006/relationships"><Relationship Id="rId1" Type="http://schemas.openxmlformats.org/officeDocument/2006/relationships/image" Target="media/image15.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75F92-A250-4D9F-88FB-E961CE24B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Application>LibreOffice/6.0.5.2$Windows_X86_64 LibreOffice_project/54c8cbb85f300ac59db32fe8a675ff7683cd5a16</Application>
  <Pages>9</Pages>
  <Words>2223</Words>
  <Characters>12130</Characters>
  <CharactersWithSpaces>14312</CharactersWithSpaces>
  <Paragraphs>142</Paragraphs>
  <Company>Ministério Público do Estado de Minas Gerais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2015-08-18T14:47:00Z</dcterms:created>
  <dc:creator>Xxx</dc:creator>
  <dc:description/>
  <cp:keywords>Lei Orgânica</cp:keywords>
  <dc:language>pt-BR</dc:language>
  <cp:lastModifiedBy/>
  <dcterms:modified xsi:type="dcterms:W3CDTF">2018-10-02T14:55:35Z</dcterms:modified>
  <cp:revision>17</cp:revision>
  <dc:subject>Lei Orgânica</dc:subject>
  <dc:title>PROPOSIÇÃO DE LEI Nº 027/2008</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Ministério Público do Estado de Minas Gerais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