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media/image1.jpeg" ContentType="image/jpeg"/>
  <Override PartName="/word/media/image8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7.png" ContentType="image/pn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uppressAutoHyphens w:val="true"/>
        <w:bidi w:val="0"/>
        <w:spacing w:lineRule="auto" w:line="276" w:before="0" w:after="0"/>
        <w:jc w:val="center"/>
        <w:textAlignment w:val="baseline"/>
        <w:outlineLvl w:val="2"/>
        <w:rPr>
          <w:rFonts w:ascii="Garamond" w:hAnsi="Garamond"/>
          <w:sz w:val="24"/>
          <w:szCs w:val="24"/>
        </w:rPr>
      </w:pP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  <w:t xml:space="preserve">LAUDO TÉCNICO N º </w:t>
      </w: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  <w:t>22</w:t>
      </w: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  <w:t>/2018</w:t>
      </w:r>
    </w:p>
    <w:p>
      <w:pPr>
        <w:pStyle w:val="Normal"/>
        <w:numPr>
          <w:ilvl w:val="0"/>
          <w:numId w:val="0"/>
        </w:numPr>
        <w:suppressAutoHyphens w:val="true"/>
        <w:bidi w:val="0"/>
        <w:spacing w:lineRule="auto" w:line="276" w:before="0" w:after="0"/>
        <w:jc w:val="center"/>
        <w:textAlignment w:val="baseline"/>
        <w:outlineLvl w:val="2"/>
        <w:rPr>
          <w:rFonts w:eastAsia="Times New Roman" w:cs="Garamond"/>
          <w:b/>
          <w:b/>
          <w:bCs/>
          <w:lang w:eastAsia="zh-CN"/>
        </w:rPr>
      </w:pPr>
      <w:r>
        <w:rPr>
          <w:rFonts w:eastAsia="Times New Roman" w:cs="Garamond"/>
          <w:b/>
          <w:bCs/>
          <w:lang w:eastAsia="zh-CN"/>
        </w:rPr>
      </w:r>
    </w:p>
    <w:p>
      <w:pPr>
        <w:pStyle w:val="Normal"/>
        <w:numPr>
          <w:ilvl w:val="0"/>
          <w:numId w:val="0"/>
        </w:numPr>
        <w:suppressAutoHyphens w:val="true"/>
        <w:bidi w:val="0"/>
        <w:spacing w:lineRule="auto" w:line="276" w:before="0" w:after="0"/>
        <w:jc w:val="center"/>
        <w:textAlignment w:val="baseline"/>
        <w:outlineLvl w:val="2"/>
        <w:rPr>
          <w:rFonts w:ascii="Garamond" w:hAnsi="Garamond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>Ref: PAAF 0024.18.007442-9</w:t>
      </w:r>
    </w:p>
    <w:p>
      <w:pPr>
        <w:pStyle w:val="Normal"/>
        <w:numPr>
          <w:ilvl w:val="0"/>
          <w:numId w:val="0"/>
        </w:numPr>
        <w:suppressAutoHyphens w:val="true"/>
        <w:bidi w:val="0"/>
        <w:spacing w:lineRule="auto" w:line="276" w:before="0" w:after="0"/>
        <w:ind w:left="720" w:hanging="0"/>
        <w:jc w:val="both"/>
        <w:textAlignment w:val="baseline"/>
        <w:rPr>
          <w:rFonts w:ascii="Garamond" w:hAnsi="Garamond" w:eastAsia="Times New Roman" w:cs="Garamond"/>
          <w:b/>
          <w:b/>
          <w:bCs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jc w:val="both"/>
        <w:textAlignment w:val="baseline"/>
        <w:rPr>
          <w:rFonts w:ascii="Garamond" w:hAnsi="Garamond"/>
          <w:sz w:val="24"/>
          <w:szCs w:val="24"/>
        </w:rPr>
      </w:pP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  <w:t xml:space="preserve">Objeto: </w:t>
      </w: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>Edificação residencial - Casa de Taipa.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left="720" w:hanging="0"/>
        <w:jc w:val="both"/>
        <w:textAlignment w:val="baseline"/>
        <w:rPr>
          <w:rFonts w:ascii="Garamond" w:hAnsi="Garamond" w:eastAsia="Times New Roman" w:cs="Garamond"/>
          <w:b w:val="false"/>
          <w:b w:val="false"/>
          <w:bCs w:val="false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jc w:val="both"/>
        <w:textAlignment w:val="baseline"/>
        <w:rPr>
          <w:rFonts w:ascii="Garamond" w:hAnsi="Garamond"/>
          <w:sz w:val="24"/>
          <w:szCs w:val="24"/>
        </w:rPr>
      </w:pP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  <w:t>Endereço:</w:t>
      </w: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 xml:space="preserve"> Rua Samuel Possa.</w:t>
      </w:r>
    </w:p>
    <w:p>
      <w:pPr>
        <w:pStyle w:val="Normal"/>
        <w:numPr>
          <w:ilvl w:val="0"/>
          <w:numId w:val="0"/>
        </w:numPr>
        <w:suppressAutoHyphens w:val="true"/>
        <w:bidi w:val="0"/>
        <w:spacing w:lineRule="auto" w:line="276" w:before="0" w:after="0"/>
        <w:ind w:left="720" w:hanging="0"/>
        <w:jc w:val="both"/>
        <w:textAlignment w:val="baseline"/>
        <w:rPr>
          <w:rFonts w:ascii="Garamond" w:hAnsi="Garamond" w:eastAsia="Times New Roman" w:cs="Garamond"/>
          <w:b/>
          <w:b/>
          <w:bCs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jc w:val="both"/>
        <w:textAlignment w:val="baseline"/>
        <w:rPr>
          <w:rFonts w:ascii="Garamond" w:hAnsi="Garamond"/>
          <w:sz w:val="24"/>
          <w:szCs w:val="24"/>
        </w:rPr>
      </w:pP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  <w:t xml:space="preserve">Município: </w:t>
      </w: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>Distrito de Vitoriano Veloso Bichinho - Prados.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left="720" w:hanging="0"/>
        <w:jc w:val="both"/>
        <w:textAlignment w:val="baseline"/>
        <w:rPr>
          <w:rFonts w:ascii="Garamond" w:hAnsi="Garamond" w:eastAsia="Times New Roman" w:cs="Garamond"/>
          <w:b w:val="false"/>
          <w:b w:val="false"/>
          <w:bCs w:val="false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jc w:val="both"/>
        <w:textAlignment w:val="baseline"/>
        <w:rPr/>
      </w:pP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  <w:t xml:space="preserve">Proteção: </w:t>
      </w: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>Inventário Municipal, inserida no perímetro de tombamento do Núcleo Histórico de Bichinho, inserida entorno de tombamento da Igreja de Nossa Senhora da Penha tombada pelo Iphan.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left="720" w:hanging="0"/>
        <w:jc w:val="left"/>
        <w:textAlignment w:val="baseline"/>
        <w:rPr>
          <w:rFonts w:ascii="Garamond" w:hAnsi="Garamond" w:eastAsia="SimSun" w:cs="Mangal"/>
          <w:sz w:val="24"/>
          <w:szCs w:val="24"/>
          <w:lang w:eastAsia="zh-CN" w:bidi="hi-IN"/>
        </w:rPr>
      </w:pPr>
      <w:r>
        <w:rPr>
          <w:rFonts w:eastAsia="SimSun" w:cs="Mangal" w:ascii="Garamond" w:hAnsi="Garamond"/>
          <w:sz w:val="24"/>
          <w:szCs w:val="24"/>
          <w:lang w:eastAsia="zh-CN" w:bidi="hi-IN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jc w:val="both"/>
        <w:textAlignment w:val="baseline"/>
        <w:rPr>
          <w:rFonts w:ascii="Garamond" w:hAnsi="Garamond"/>
          <w:sz w:val="24"/>
          <w:szCs w:val="24"/>
        </w:rPr>
      </w:pP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  <w:t xml:space="preserve">Objetivo: </w:t>
      </w: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 xml:space="preserve">Análise do estado de conservação e indicação de medidas necessárias para sua preservação. </w:t>
      </w:r>
    </w:p>
    <w:p>
      <w:pPr>
        <w:pStyle w:val="Normal"/>
        <w:numPr>
          <w:ilvl w:val="0"/>
          <w:numId w:val="0"/>
        </w:numPr>
        <w:suppressAutoHyphens w:val="true"/>
        <w:bidi w:val="0"/>
        <w:spacing w:lineRule="auto" w:line="276" w:before="0" w:after="0"/>
        <w:ind w:left="720" w:hanging="0"/>
        <w:jc w:val="left"/>
        <w:textAlignment w:val="baseline"/>
        <w:rPr>
          <w:rFonts w:ascii="Garamond" w:hAnsi="Garamond" w:eastAsia="Times New Roman" w:cs="Garamond"/>
          <w:b/>
          <w:b/>
          <w:bCs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jc w:val="left"/>
        <w:textAlignment w:val="baseline"/>
        <w:rPr>
          <w:rFonts w:ascii="Garamond" w:hAnsi="Garamond"/>
          <w:sz w:val="24"/>
          <w:szCs w:val="24"/>
        </w:rPr>
      </w:pP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  <w:t>Considerações preliminares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left="720" w:hanging="0"/>
        <w:jc w:val="left"/>
        <w:textAlignment w:val="baseline"/>
        <w:rPr>
          <w:rFonts w:eastAsia="Times New Roman" w:cs="Garamond"/>
          <w:lang w:eastAsia="zh-CN"/>
        </w:rPr>
      </w:pPr>
      <w:r>
        <w:rPr>
          <w:rFonts w:eastAsia="Times New Roman" w:cs="Garamond"/>
          <w:lang w:eastAsia="zh-CN"/>
        </w:rPr>
      </w:r>
    </w:p>
    <w:p>
      <w:pPr>
        <w:pStyle w:val="Normal"/>
        <w:bidi w:val="0"/>
        <w:ind w:firstLine="709"/>
        <w:jc w:val="both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>Em 15/03/2013 foi instaurado o Inquérito Civil nº MPMG-0527.13.000002-1, com objetivo de apurar denúncia de mau estado de conservação em imóvel situado à Rua da Matriz, distrito de Vitoriano Veloso, Município de Prados.</w:t>
      </w:r>
    </w:p>
    <w:p>
      <w:pPr>
        <w:pStyle w:val="Normal"/>
        <w:bidi w:val="0"/>
        <w:ind w:firstLine="709"/>
        <w:jc w:val="both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ascii="Garamond" w:hAnsi="Garamond"/>
          <w:b w:val="false"/>
          <w:bCs w:val="false"/>
          <w:sz w:val="24"/>
          <w:szCs w:val="24"/>
        </w:rPr>
        <w:t>Em dia 26/05/2014, o Promotor de Justiça da Comarca de Prados, Dr. Felipe Guimarães Amantéa, requisitou a esta Promotoria de Defesa do Patrimônio Cultural e Turístico de Minas Gerais, informar o contexto histórico que caracteriza a necessidade de preservação do referido imóvel, uma vez que o mesmo não é tombado pelo IPHAN, IEPHA ou pelo Município, bem como informar quais as providências devem ser tomadas para a preservação da edificação.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firstLine="709"/>
        <w:jc w:val="both"/>
        <w:textAlignment w:val="baseline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>Em 06/06/2014, foi instaurado o Procedimento de Apoio a Atividade Fim nº MPMG-0024.14.007575-5, com objetivo de apurar o mau estado de conservação de imóvel situado na Rua da Matriz, no distrito de Vitoriano Veloso, na cidade de Prados.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firstLine="709"/>
        <w:jc w:val="both"/>
        <w:textAlignment w:val="baseline"/>
        <w:rPr>
          <w:rFonts w:eastAsia="Times New Roman" w:cs="Garamond"/>
          <w:lang w:eastAsia="zh-CN"/>
        </w:rPr>
      </w:pPr>
      <w:r>
        <w:rPr>
          <w:rFonts w:eastAsia="Times New Roman" w:cs="Garamond"/>
          <w:lang w:eastAsia="zh-C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>Foi elaborada a Nota Técnica nº 81/2014 por este Setor Técnico que concluiu que o imóvel possuía valor cultural entretanto encontrava-se em precário estado de conservação,  sendo urgente sua restauração</w:t>
      </w:r>
      <w:r>
        <w:rPr>
          <w:rStyle w:val="Ncoradanotaderodap"/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footnoteReference w:id="2"/>
      </w: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 xml:space="preserve">. Recomendou a elaboração e execução de um projeto de restauração da edificação, com acompanhamento, nas duas etapas, dos órgãos de proteção competentes. 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eastAsia="Times New Roman" w:cs="Garamond"/>
          <w:lang w:eastAsia="zh-CN"/>
        </w:rPr>
      </w:pPr>
      <w:r>
        <w:rPr>
          <w:rFonts w:eastAsia="Times New Roman" w:cs="Garamond"/>
          <w:lang w:eastAsia="zh-C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/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>Em 22/10/2017, os proprietários do imóvel compareceram a audiência agendada na Promotoria de Justiça de São João del Rei, informando que por volta de 2014 realizou intervenções no imóvel (recuperação da cobertura e reconstrução de uma parede que havia arruinado nos fundos). Foi informado que para qualquer intervenção no imóvel é necessário anuência prévia do COMPAC de Prados. Não manifestou interesse em assinar TAC com o MPMG tendo em vista que a casa encontrava-se a venda e devido aos autos custos para restauração, entretanto, concordou em executar as medidas emergenciais indicadas na Nota Técnica nº 81/2014.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eastAsia="Times New Roman" w:cs="Garamond"/>
          <w:lang w:eastAsia="zh-CN"/>
        </w:rPr>
      </w:pPr>
      <w:r>
        <w:rPr>
          <w:rFonts w:eastAsia="Times New Roman" w:cs="Garamond"/>
          <w:lang w:eastAsia="zh-C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/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>Em 17/11/2014 o COMPAC encaminhou à Promotoria local relatório técnico informando sobre o estado de conservação da edificação, recomendando a imediata adoção das medidas emergenciais indicadas na Nota Técnica. Informou que: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ascii="Garamond" w:hAnsi="Garamond" w:eastAsia="Times New Roman" w:cs="Garamond"/>
          <w:b w:val="false"/>
          <w:b w:val="false"/>
          <w:bCs w:val="false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/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 xml:space="preserve">1 - Foram levantadas paredes no fundo e na lateral direita em adobe com 28 cm de espessura, diferentes das paredes em taipa existentes que possuem 68 cm de espessura.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>2 - Foi executada cinta de concreto armado sobre as paredes externas da edificação.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>3 - Foi executada uma parede de adobe viga no meio da edificação.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 xml:space="preserve">4 - A estrutura de madeira da cobertura encontrava-se em bom estado de conservação, entretanto as telhas encontravam-se deslocadas e quebradas.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>5 - As paredes internas  em pau a pique encontravam-se em péssimo estado.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 xml:space="preserve">6 - Em relação às esquadrias, uma das janelas foi vedada por adobe e esquadria de menor tamanho, três vãos se apresentavam sem esquadrias e as portas da frente e fundos encontravam-se no imóvel, entretanto em péssimo estado de conservação.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 xml:space="preserve">7 - As alvenarias apresentavam trincas na parte superior dos vãos devido o precário estado de conservação das vergas de madeira.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eastAsia="Times New Roman" w:cs="Garamond"/>
          <w:lang w:eastAsia="zh-CN"/>
        </w:rPr>
      </w:pPr>
      <w:r>
        <w:rPr>
          <w:rFonts w:eastAsia="Times New Roman" w:cs="Garamond"/>
          <w:lang w:eastAsia="zh-C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 xml:space="preserve"> </w:t>
      </w: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 xml:space="preserve">Em 18/12/2014 foi firmado TAC entre o proprietário da edificação, o MPMG com interveniência do COMPAC onde o compromissário assumiu a responsabilidade de realizar no imóvel as medidas emergenciais citadas na Nota Técnica, no prazo de 90 dias.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eastAsia="Times New Roman" w:cs="Garamond"/>
          <w:lang w:eastAsia="zh-CN"/>
        </w:rPr>
      </w:pPr>
      <w:r>
        <w:rPr>
          <w:rFonts w:eastAsia="Times New Roman" w:cs="Garamond"/>
          <w:lang w:eastAsia="zh-C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 xml:space="preserve">Em 31/03/2015 o proprietário do imóvel encaminhou ofício e fotografias para comprovar a execução das medidas emergenciais, informando que teve um custo de R$6.374,00 (seis mil trezentos e setenta e quatro reais). 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eastAsia="Times New Roman" w:cs="Garamond"/>
          <w:lang w:eastAsia="zh-CN"/>
        </w:rPr>
      </w:pPr>
      <w:r>
        <w:rPr>
          <w:rFonts w:eastAsia="Times New Roman" w:cs="Garamond"/>
          <w:lang w:eastAsia="zh-C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 xml:space="preserve">Em 20/05/2015 o COMPAC realizou nova vistoria no imóvel comprovando a execução das medidas emergenciais.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eastAsia="Times New Roman" w:cs="Garamond"/>
          <w:lang w:eastAsia="zh-CN"/>
        </w:rPr>
      </w:pPr>
      <w:r>
        <w:rPr>
          <w:rFonts w:eastAsia="Times New Roman" w:cs="Garamond"/>
          <w:lang w:eastAsia="zh-C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ascii="Garamond" w:hAnsi="Garamond"/>
          <w:b w:val="false"/>
          <w:b w:val="false"/>
          <w:bCs w:val="false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 xml:space="preserve">Em 15/06/2018 foi realizada vistoria no local por este Setor Técnico.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eastAsia="Times New Roman" w:cs="Garamond"/>
          <w:lang w:eastAsia="zh-CN"/>
        </w:rPr>
      </w:pPr>
      <w:r>
        <w:rPr>
          <w:rFonts w:eastAsia="Times New Roman" w:cs="Garamond"/>
          <w:lang w:eastAsia="zh-C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eastAsia="Times New Roman" w:cs="Garamond"/>
          <w:lang w:eastAsia="zh-CN"/>
        </w:rPr>
      </w:pPr>
      <w:r>
        <w:rPr>
          <w:rFonts w:eastAsia="Times New Roman" w:cs="Garamond"/>
          <w:lang w:eastAsia="zh-C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/>
        <w:jc w:val="both"/>
        <w:textAlignment w:val="baseline"/>
        <w:rPr>
          <w:rFonts w:eastAsia="Times New Roman" w:cs="Garamond"/>
          <w:lang w:eastAsia="zh-CN"/>
        </w:rPr>
      </w:pPr>
      <w:r>
        <w:rPr>
          <w:rFonts w:eastAsia="Times New Roman" w:cs="Garamond"/>
          <w:lang w:eastAsia="zh-CN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jc w:val="left"/>
        <w:textAlignment w:val="baseline"/>
        <w:rPr>
          <w:rFonts w:ascii="Garamond" w:hAnsi="Garamond"/>
          <w:sz w:val="24"/>
          <w:szCs w:val="24"/>
        </w:rPr>
      </w:pP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  <w:t>Análise Técnica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textAlignment w:val="baseline"/>
        <w:rPr>
          <w:rFonts w:eastAsia="Times New Roman" w:cs="Garamond"/>
          <w:b/>
          <w:b/>
          <w:bCs/>
          <w:lang w:eastAsia="zh-CN"/>
        </w:rPr>
      </w:pPr>
      <w:r>
        <w:rPr>
          <w:rFonts w:eastAsia="Times New Roman" w:cs="Garamond"/>
          <w:b/>
          <w:bCs/>
          <w:lang w:eastAsia="zh-C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both"/>
        <w:textAlignment w:val="baseline"/>
        <w:rPr/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 xml:space="preserve">Para facilitar a análise, será elaborada tabela contendo as medidas emergenciais indicadas na Nota Técnica, as informações prestadas pelo proprietário e a situação encontrada na vistoria deste Setor Técnico em 15/06/2018.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both"/>
        <w:textAlignment w:val="baseline"/>
        <w:rPr>
          <w:rFonts w:ascii="Garamond" w:hAnsi="Garamond" w:eastAsia="Times New Roman" w:cs="Garamond"/>
          <w:b w:val="false"/>
          <w:b w:val="false"/>
          <w:bCs w:val="false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both"/>
        <w:textAlignment w:val="baseline"/>
        <w:rPr/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 xml:space="preserve">Será feito um quadro comparativo contendo imagens das fachadas do imóvel no ano de 2012 e as atuais.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both"/>
        <w:textAlignment w:val="baseline"/>
        <w:rPr>
          <w:rFonts w:ascii="Garamond" w:hAnsi="Garamond" w:eastAsia="Times New Roman" w:cs="Garamond"/>
          <w:b w:val="false"/>
          <w:b w:val="false"/>
          <w:bCs w:val="false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</w:r>
    </w:p>
    <w:tbl>
      <w:tblPr>
        <w:tblW w:w="8838" w:type="dxa"/>
        <w:jc w:val="left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</w:tblPr>
      <w:tblGrid>
        <w:gridCol w:w="2946"/>
        <w:gridCol w:w="2946"/>
        <w:gridCol w:w="2946"/>
      </w:tblGrid>
      <w:tr>
        <w:trPr/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center"/>
              <w:rPr>
                <w:rFonts w:ascii="Garamond" w:hAnsi="Garamond"/>
                <w:b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Medida Emergencial indicada na NT 81/2014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center"/>
              <w:rPr>
                <w:rFonts w:ascii="Garamond" w:hAnsi="Garamond"/>
                <w:b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Informação prestada pelo Proprietário em 31/03/2015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center"/>
              <w:rPr>
                <w:rFonts w:ascii="Garamond" w:hAnsi="Garamond"/>
                <w:b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Situação encontrada na vistoria realizada pelo Setor Técnico da CPPC (06/2018) </w:t>
            </w:r>
          </w:p>
        </w:tc>
      </w:tr>
      <w:tr>
        <w:trPr/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Recuodecorpodetexto3"/>
              <w:numPr>
                <w:ilvl w:val="0"/>
                <w:numId w:val="0"/>
              </w:numPr>
              <w:tabs>
                <w:tab w:val="left" w:pos="1428" w:leader="none"/>
              </w:tabs>
              <w:bidi w:val="0"/>
              <w:spacing w:lineRule="auto" w:line="276" w:before="0" w:after="0"/>
              <w:ind w:left="0" w:right="0" w:hanging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Deve haver monitoramento das trincas existentes nas alvenarias e, caso as mesmas se encontrem ativas, proceder ao escoramento do imóvel, utilizando as técnicas apropriadas para edificações históricas.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 imóvel não possuía trincas ativas. Foi devidamente escorado e restaurado com técnicas modernas, sem prejuízo a sua estrutura. 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As vergas dos vãos foram substituídas. Foi reconstruída parede nos fundos do imóvel utilizando adobe. O imóvel não apresentam trincas e / ou fissuras que indiquem problemas estruturais. </w:t>
            </w:r>
          </w:p>
        </w:tc>
      </w:tr>
      <w:tr>
        <w:trPr/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Recuodecorpodetexto3"/>
              <w:numPr>
                <w:ilvl w:val="0"/>
                <w:numId w:val="0"/>
              </w:numPr>
              <w:tabs>
                <w:tab w:val="left" w:pos="1428" w:leader="none"/>
              </w:tabs>
              <w:bidi w:val="0"/>
              <w:spacing w:lineRule="auto" w:line="276" w:before="0" w:after="0"/>
              <w:ind w:left="0" w:right="0" w:hanging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Providenciar a substituição / reposição / reparo das portas e janelas do imóvel , mantendo o padrão e características históricas existentes. 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As esquadrias danificadas foram trocadas por peças novas, preservando as características originais. 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ascii="Garamond" w:hAnsi="Garamond"/>
                <w:sz w:val="24"/>
                <w:szCs w:val="24"/>
              </w:rPr>
              <w:t>Foram instaladas novas esquadrias e ferragens seguindo o padrão original.</w:t>
            </w:r>
          </w:p>
        </w:tc>
      </w:tr>
      <w:tr>
        <w:trPr/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Recuodecorpodetexto3"/>
              <w:numPr>
                <w:ilvl w:val="0"/>
                <w:numId w:val="0"/>
              </w:numPr>
              <w:tabs>
                <w:tab w:val="left" w:pos="1428" w:leader="none"/>
              </w:tabs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ascii="Garamond" w:hAnsi="Garamond"/>
                <w:sz w:val="24"/>
                <w:szCs w:val="24"/>
              </w:rPr>
              <w:t xml:space="preserve">Realizar revisão geral em todo madeiramento e telhas, com substituição de peças deterioradas utilizando madeiras adequadas para este fim e de grande resistência e durabilidade. As características originais da cobertura deverão ser preservadas (número de águas, inclinação, características dos beirais). Sugere-se a amarração das telhas, evitando que as mesmas se desloquem. 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 engradamento é novo e foi reconstruído utilizando madeira de boa qualidade. </w:t>
            </w:r>
          </w:p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As telhas foram devidamente amarradas / embocadas. 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Não foram verificados danos aparentes na cobertura. Não foi possível o acesso ao interior do imóvel para verificar se houve amarração das telhas. As telhas dos beirais não foram amarradas. Considerando que as telhas são antigas, recomenda-se limpeza dos locais onde há vegetação invasiva e a amarração das telhas ou embocamento de algumas fiadas para evitar o deslocamento. </w:t>
            </w:r>
          </w:p>
        </w:tc>
      </w:tr>
      <w:tr>
        <w:trPr/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Normal"/>
              <w:numPr>
                <w:ilvl w:val="0"/>
                <w:numId w:val="0"/>
              </w:numPr>
              <w:tabs>
                <w:tab w:val="left" w:pos="1428" w:leader="none"/>
              </w:tabs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ascii="Garamond" w:hAnsi="Garamond"/>
                <w:sz w:val="24"/>
                <w:szCs w:val="24"/>
              </w:rPr>
              <w:t>Capina e limpeza do terreno adjacente para evitar acúmulo de umidade junto à base da edificação e crescimento de vegetação.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 lote estava capinado e a limpeza do terreno adjacente é realizada de forma constante. 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ascii="Garamond" w:hAnsi="Garamond"/>
                <w:sz w:val="24"/>
                <w:szCs w:val="24"/>
              </w:rPr>
              <w:t>O terreno foi capinado, entretanto a vegetação seca não foi retirada. Constatou-se que é utilizado para pastagem de animais. Havia lixo no local.</w:t>
            </w:r>
          </w:p>
        </w:tc>
      </w:tr>
      <w:tr>
        <w:trPr/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Normal"/>
              <w:numPr>
                <w:ilvl w:val="0"/>
                <w:numId w:val="0"/>
              </w:numPr>
              <w:tabs>
                <w:tab w:val="left" w:pos="1428" w:leader="none"/>
              </w:tabs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ascii="Garamond" w:hAnsi="Garamond"/>
                <w:sz w:val="24"/>
                <w:szCs w:val="24"/>
              </w:rPr>
              <w:t>Remoção cuidadosa da vegetação invasiva sobre a alvenaria para não danificar a estrutura de barro devido ao acumulo de umidade nas raízes.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Toda vegetação invasiva que se encontrava nas alvenarias da edificação foi retirada cuidadosamente. 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A vegetação de menor porte foi removida. Raízes maiores foram preservadas pois sua remoção poderia causar danos nas alvenarias. </w:t>
            </w:r>
          </w:p>
        </w:tc>
      </w:tr>
      <w:tr>
        <w:trPr/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Normal"/>
              <w:numPr>
                <w:ilvl w:val="0"/>
                <w:numId w:val="0"/>
              </w:numPr>
              <w:tabs>
                <w:tab w:val="left" w:pos="1428" w:leader="none"/>
              </w:tabs>
              <w:bidi w:val="0"/>
              <w:spacing w:lineRule="auto" w:line="276" w:before="0" w:after="0"/>
              <w:ind w:left="0" w:right="0" w:hanging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Deverá haver o desligamento da energia do imóvel para evitar curtos circuitos, caso haja ligação de energia elétrica na edificação.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ascii="Garamond" w:hAnsi="Garamond"/>
                <w:sz w:val="24"/>
                <w:szCs w:val="24"/>
              </w:rPr>
              <w:t xml:space="preserve">O imóvel nunca possuiu instalações elétricas. </w:t>
            </w:r>
          </w:p>
        </w:tc>
        <w:tc>
          <w:tcPr>
            <w:tcW w:w="29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lineRule="auto" w:line="276" w:before="0" w:after="0"/>
              <w:ind w:left="0" w:right="0" w:hanging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Não há instalações elétricas na edificação.</w:t>
            </w:r>
          </w:p>
        </w:tc>
      </w:tr>
    </w:tbl>
    <w:p>
      <w:pPr>
        <w:pStyle w:val="Normal"/>
        <w:ind w:firstLine="709"/>
        <w:jc w:val="both"/>
        <w:rPr/>
      </w:pPr>
      <w:r>
        <w:rPr/>
      </w:r>
    </w:p>
    <w:tbl>
      <w:tblPr>
        <w:tblW w:w="8838" w:type="dxa"/>
        <w:jc w:val="left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</w:tblPr>
      <w:tblGrid>
        <w:gridCol w:w="4419"/>
        <w:gridCol w:w="4418"/>
      </w:tblGrid>
      <w:tr>
        <w:trPr/>
        <w:tc>
          <w:tcPr>
            <w:tcW w:w="4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before="0" w:after="0"/>
              <w:jc w:val="center"/>
              <w:rPr>
                <w:rFonts w:ascii="Garamond" w:hAnsi="Garamond"/>
                <w:b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Situação do imóvel em 2014</w:t>
            </w:r>
          </w:p>
        </w:tc>
        <w:tc>
          <w:tcPr>
            <w:tcW w:w="4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before="0" w:after="0"/>
              <w:jc w:val="center"/>
              <w:rPr>
                <w:rFonts w:ascii="Garamond" w:hAnsi="Garamond"/>
                <w:b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Situação do imóvel em junho de 2018. </w:t>
            </w:r>
          </w:p>
        </w:tc>
      </w:tr>
      <w:tr>
        <w:trPr/>
        <w:tc>
          <w:tcPr>
            <w:tcW w:w="4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before="0" w:after="0"/>
              <w:jc w:val="left"/>
              <w:rPr/>
            </w:pPr>
            <w:r>
              <w:rPr/>
              <w:drawing>
                <wp:inline distT="0" distB="0" distL="0" distR="0">
                  <wp:extent cx="2736215" cy="1529715"/>
                  <wp:effectExtent l="0" t="0" r="0" b="0"/>
                  <wp:docPr id="1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3" t="-6" r="-3" b="-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before="0" w:after="0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736215" cy="1557655"/>
                  <wp:effectExtent l="0" t="0" r="0" b="0"/>
                  <wp:wrapSquare wrapText="largest"/>
                  <wp:docPr id="2" name="Figura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0" t="9126" r="0" b="5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before="0" w:after="0"/>
              <w:jc w:val="left"/>
              <w:rPr/>
            </w:pPr>
            <w:r>
              <w:rPr/>
              <w:drawing>
                <wp:inline distT="0" distB="0" distL="0" distR="0">
                  <wp:extent cx="2736215" cy="1538605"/>
                  <wp:effectExtent l="0" t="0" r="0" b="0"/>
                  <wp:docPr id="3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3" t="-6" r="-3" b="-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before="0" w:after="0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736215" cy="1579880"/>
                  <wp:effectExtent l="0" t="0" r="0" b="0"/>
                  <wp:wrapSquare wrapText="largest"/>
                  <wp:docPr id="4" name="Figura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0" t="13375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before="0" w:after="0"/>
              <w:jc w:val="left"/>
              <w:rPr/>
            </w:pPr>
            <w:r>
              <w:rPr/>
              <w:drawing>
                <wp:inline distT="0" distB="0" distL="0" distR="0">
                  <wp:extent cx="2736215" cy="1786255"/>
                  <wp:effectExtent l="0" t="0" r="0" b="0"/>
                  <wp:docPr id="5" name="Figura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a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3576" t="2789" r="20431" b="20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17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5" w:type="dxa"/>
            </w:tcMar>
          </w:tcPr>
          <w:p>
            <w:pPr>
              <w:pStyle w:val="Contedodatabela"/>
              <w:bidi w:val="0"/>
              <w:spacing w:before="0" w:after="0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736215" cy="1823720"/>
                  <wp:effectExtent l="0" t="0" r="0" b="0"/>
                  <wp:wrapSquare wrapText="largest"/>
                  <wp:docPr id="6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left="720" w:hanging="0"/>
        <w:jc w:val="left"/>
        <w:textAlignment w:val="baseline"/>
        <w:rPr>
          <w:rFonts w:eastAsia="Times New Roman" w:cs="Garamond"/>
          <w:b/>
          <w:b/>
          <w:bCs/>
          <w:lang w:eastAsia="zh-CN"/>
        </w:rPr>
      </w:pPr>
      <w:r>
        <w:rPr>
          <w:rFonts w:eastAsia="Times New Roman" w:cs="Garamond"/>
          <w:b/>
          <w:bCs/>
          <w:lang w:eastAsia="zh-CN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ind w:firstLine="709"/>
        <w:jc w:val="left"/>
        <w:textAlignment w:val="baseline"/>
        <w:rPr>
          <w:rFonts w:ascii="Garamond" w:hAnsi="Garamond"/>
          <w:sz w:val="24"/>
          <w:szCs w:val="24"/>
        </w:rPr>
      </w:pP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  <w:t xml:space="preserve">Conclusões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firstLine="709"/>
        <w:jc w:val="left"/>
        <w:textAlignment w:val="baseline"/>
        <w:rPr>
          <w:rFonts w:eastAsia="Times New Roman" w:cs="Garamond"/>
          <w:b/>
          <w:b/>
          <w:bCs/>
          <w:lang w:eastAsia="zh-CN"/>
        </w:rPr>
      </w:pPr>
      <w:r>
        <w:rPr>
          <w:rFonts w:eastAsia="Times New Roman" w:cs="Garamond"/>
          <w:b/>
          <w:bCs/>
          <w:lang w:eastAsia="zh-CN"/>
        </w:rPr>
      </w:r>
    </w:p>
    <w:p>
      <w:pPr>
        <w:pStyle w:val="Normal"/>
        <w:bidi w:val="0"/>
        <w:spacing w:lineRule="auto" w:line="276"/>
        <w:ind w:left="0" w:right="0" w:hanging="0"/>
        <w:jc w:val="both"/>
        <w:rPr/>
      </w:pPr>
      <w:r>
        <w:rPr>
          <w:rFonts w:cs="Garamond" w:ascii="Garamond" w:hAnsi="Garamond"/>
        </w:rPr>
        <w:tab/>
      </w: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 xml:space="preserve">Conforme descrito na análise técnica deste documento, constatamos que foram realizadas a maior parte das obrigações assumidas pelo proprietário do imóvel no TAC, restando somente a amarração das telhas e a remoção da vegetação seca do local. </w:t>
      </w:r>
    </w:p>
    <w:p>
      <w:pPr>
        <w:pStyle w:val="Normal"/>
        <w:ind w:firstLine="709"/>
        <w:jc w:val="both"/>
        <w:rPr>
          <w:b w:val="false"/>
          <w:b w:val="false"/>
          <w:bCs w:val="false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>Pra total cumprimento do TAC recomenda-se:</w:t>
      </w:r>
    </w:p>
    <w:p>
      <w:pPr>
        <w:pStyle w:val="Normal"/>
        <w:numPr>
          <w:ilvl w:val="0"/>
          <w:numId w:val="2"/>
        </w:numPr>
        <w:jc w:val="both"/>
        <w:rPr>
          <w:b w:val="false"/>
          <w:b w:val="false"/>
          <w:bCs w:val="false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 xml:space="preserve">Realizar a amarração das telhas ou embocamento de algumas fiadas para evitar o deslocamento. Considerando que as telhas são antigas, recomenda-se a limpeza dos locais onde há vegetação invasiva. </w:t>
      </w:r>
    </w:p>
    <w:p>
      <w:pPr>
        <w:pStyle w:val="Normal"/>
        <w:numPr>
          <w:ilvl w:val="0"/>
          <w:numId w:val="2"/>
        </w:numPr>
        <w:jc w:val="both"/>
        <w:rPr>
          <w:b w:val="false"/>
          <w:b w:val="false"/>
          <w:bCs w:val="false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 xml:space="preserve">Retirada de toda vegetação seca resultante da capina que permanece no terreno. </w:t>
      </w:r>
    </w:p>
    <w:p>
      <w:pPr>
        <w:pStyle w:val="Normal"/>
        <w:bidi w:val="0"/>
        <w:spacing w:lineRule="auto" w:line="276"/>
        <w:ind w:left="0" w:right="0" w:hanging="0"/>
        <w:jc w:val="both"/>
        <w:rPr/>
      </w:pPr>
      <w:r>
        <w:rPr>
          <w:rFonts w:cs="Garamond" w:ascii="Garamond" w:hAnsi="Garamond"/>
          <w:sz w:val="24"/>
          <w:szCs w:val="24"/>
        </w:rPr>
        <w:tab/>
        <w:t>A edificação em análise, conhecida como Casa de Taipa é bem de valor cultural reconhecido pelo município que realizou o seu inventário. Além disso, integra o Núcleo Histórico de Vitoriano Veloso</w:t>
      </w:r>
      <w:r>
        <w:rPr>
          <w:rStyle w:val="Ncoradanotaderodap"/>
          <w:rFonts w:cs="Garamond" w:ascii="Garamond" w:hAnsi="Garamond"/>
          <w:sz w:val="24"/>
          <w:szCs w:val="24"/>
        </w:rPr>
        <w:footnoteReference w:id="3"/>
      </w:r>
      <w:r>
        <w:rPr>
          <w:rFonts w:cs="Garamond" w:ascii="Garamond" w:hAnsi="Garamond"/>
          <w:sz w:val="24"/>
          <w:szCs w:val="24"/>
        </w:rPr>
        <w:t>, tombado pelo município através do Decreto nº 2104/2010, e insere-se no entorno da Igreja de Nossa Senhora da Penha, que possui tombamento pelo Iphan</w:t>
      </w:r>
      <w:r>
        <w:rPr>
          <w:rStyle w:val="Ncoradanotaderodap"/>
          <w:rFonts w:cs="Garamond" w:ascii="Garamond" w:hAnsi="Garamond"/>
          <w:sz w:val="24"/>
          <w:szCs w:val="24"/>
        </w:rPr>
        <w:footnoteReference w:id="4"/>
      </w:r>
      <w:r>
        <w:rPr>
          <w:rFonts w:cs="Garamond" w:ascii="Garamond" w:hAnsi="Garamond"/>
          <w:sz w:val="24"/>
          <w:szCs w:val="24"/>
        </w:rPr>
        <w:t>.</w:t>
      </w:r>
    </w:p>
    <w:p>
      <w:pPr>
        <w:pStyle w:val="Recuodecorpodetexto3"/>
        <w:bidi w:val="0"/>
        <w:spacing w:lineRule="auto" w:line="276"/>
        <w:ind w:left="0" w:right="0" w:hanging="0"/>
        <w:jc w:val="both"/>
        <w:rPr>
          <w:rFonts w:ascii="Garamond" w:hAnsi="Garamond"/>
          <w:sz w:val="24"/>
          <w:szCs w:val="24"/>
        </w:rPr>
      </w:pPr>
      <w:r>
        <w:rPr>
          <w:rFonts w:eastAsia="Times New Roman" w:cs="Garamond" w:ascii="Garamond" w:hAnsi="Garamond"/>
          <w:b w:val="false"/>
          <w:bCs w:val="false"/>
          <w:sz w:val="24"/>
          <w:szCs w:val="24"/>
          <w:lang w:eastAsia="zh-CN"/>
        </w:rPr>
        <w:tab/>
        <w:t xml:space="preserve">Ou seja, o imóvel integra conjunto urbano protegidos e compõe a ambiência da Igreja de Nossa Senhora da Penha, devendo ser conservado em bom estado de conservação. </w:t>
      </w:r>
    </w:p>
    <w:p>
      <w:pPr>
        <w:pStyle w:val="Normal"/>
        <w:ind w:firstLine="709"/>
        <w:jc w:val="both"/>
        <w:rPr/>
      </w:pPr>
      <w:r>
        <w:rPr>
          <w:rFonts w:ascii="Garamond" w:hAnsi="Garamond"/>
          <w:sz w:val="24"/>
          <w:szCs w:val="24"/>
        </w:rPr>
        <w:t xml:space="preserve">Desta forma, para que o imóvel seja mantido em bom estado, </w:t>
      </w:r>
      <w:r>
        <w:rPr>
          <w:rFonts w:ascii="Garamond" w:hAnsi="Garamond"/>
          <w:sz w:val="24"/>
          <w:szCs w:val="24"/>
          <w:u w:val="single"/>
        </w:rPr>
        <w:t>é fundamental que seja proposto uso ao imóvel</w:t>
      </w:r>
      <w:r>
        <w:rPr>
          <w:rFonts w:ascii="Garamond" w:hAnsi="Garamond"/>
          <w:sz w:val="24"/>
          <w:szCs w:val="24"/>
        </w:rPr>
        <w:t xml:space="preserve">, compatível com as suas características, da vizinhança e dos atuais costumes e anseios da população local, de forma a se garantir sua manutenção periódica. A preservação é de suma importância para a perpetuação do bem e uma das formas de preservar é atribuir um uso ao imóvel, a fim de incorporá-lo ao cotidiano dos habitantes, fazendo com que o imóvel cultural cumpra sua função social. </w:t>
      </w:r>
    </w:p>
    <w:p>
      <w:pPr>
        <w:pStyle w:val="Normal"/>
        <w:ind w:firstLine="709"/>
        <w:jc w:val="both"/>
        <w:rPr/>
      </w:pPr>
      <w:r>
        <w:rPr>
          <w:rFonts w:ascii="Garamond" w:hAnsi="Garamond"/>
          <w:sz w:val="24"/>
          <w:szCs w:val="24"/>
        </w:rPr>
        <w:t>A esse respeito, a Carta de Atenas</w:t>
      </w:r>
      <w:r>
        <w:rPr>
          <w:rStyle w:val="Ncoradanotaderodap"/>
          <w:rFonts w:ascii="Garamond" w:hAnsi="Garamond"/>
          <w:sz w:val="24"/>
          <w:szCs w:val="24"/>
        </w:rPr>
        <w:footnoteReference w:id="5"/>
      </w:r>
      <w:r>
        <w:rPr>
          <w:rFonts w:ascii="Garamond" w:hAnsi="Garamond"/>
          <w:sz w:val="24"/>
          <w:szCs w:val="24"/>
        </w:rPr>
        <w:t xml:space="preserve"> prevê: </w:t>
      </w:r>
    </w:p>
    <w:p>
      <w:pPr>
        <w:pStyle w:val="Normal"/>
        <w:bidi w:val="0"/>
        <w:spacing w:before="0" w:after="0"/>
        <w:ind w:left="1701" w:right="0" w:hanging="0"/>
        <w:jc w:val="both"/>
        <w:rPr/>
      </w:pPr>
      <w:r>
        <w:rPr>
          <w:rFonts w:eastAsia="Times New Roman" w:cs="Garamond" w:ascii="Garamond" w:hAnsi="Garamond"/>
          <w:sz w:val="24"/>
          <w:szCs w:val="24"/>
          <w:lang w:eastAsia="zh-CN"/>
        </w:rPr>
        <w:t xml:space="preserve">A </w:t>
      </w:r>
      <w:r>
        <w:rPr>
          <w:rFonts w:eastAsia="Times New Roman" w:cs="Garamond" w:ascii="Garamond" w:hAnsi="Garamond"/>
          <w:sz w:val="22"/>
          <w:szCs w:val="24"/>
          <w:lang w:eastAsia="zh-CN"/>
        </w:rPr>
        <w:t>conferência recomenda que se mantenha uma utilização dos monumentos, que assegure a continuidade de sua vida, destinando-os sempre a finalidades que respeitem o seu caráter histórico ou artístico.</w:t>
      </w:r>
    </w:p>
    <w:p>
      <w:pPr>
        <w:pStyle w:val="Normal"/>
        <w:tabs>
          <w:tab w:val="left" w:pos="720" w:leader="none"/>
        </w:tabs>
        <w:ind w:firstLine="480"/>
        <w:jc w:val="both"/>
        <w:rPr/>
      </w:pPr>
      <w:r>
        <w:rPr/>
      </w:r>
    </w:p>
    <w:p>
      <w:pPr>
        <w:pStyle w:val="Normal"/>
        <w:tabs>
          <w:tab w:val="left" w:pos="720" w:leader="none"/>
        </w:tabs>
        <w:ind w:firstLine="48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Embora atualmente o imóvel se encontre em bom estado de conservação, além do uso é necessário que ao longo dos anos sejam adotadas as medidas de conservação preventiva, que são intervenções de menor complexidade e baixo custo que possibilitam prevenir danos maiores.</w:t>
      </w:r>
      <w:r>
        <w:rPr>
          <w:rFonts w:cs="" w:ascii="Garamond" w:hAnsi="Garamond" w:cstheme="minorBidi"/>
          <w:sz w:val="24"/>
          <w:szCs w:val="24"/>
          <w:highlight w:val="white"/>
        </w:rPr>
        <w:t xml:space="preserve"> Sugere-se a realização de vistoria regular no imóvel, preferencialmente antes e após o período chuvoso, com o objetivo de solucionar pequenas patologias, dentre as quais destacamos:</w:t>
      </w:r>
    </w:p>
    <w:p>
      <w:pPr>
        <w:pStyle w:val="Normal"/>
        <w:numPr>
          <w:ilvl w:val="0"/>
          <w:numId w:val="3"/>
        </w:numPr>
        <w:spacing w:before="0" w:after="0"/>
        <w:rPr>
          <w:rFonts w:ascii="Garamond" w:hAnsi="Garamond" w:cs="" w:cstheme="minorBidi"/>
          <w:sz w:val="24"/>
          <w:szCs w:val="24"/>
          <w:highlight w:val="white"/>
        </w:rPr>
      </w:pPr>
      <w:r>
        <w:rPr>
          <w:rFonts w:eastAsia="Calibri" w:cs="" w:ascii="Garamond" w:hAnsi="Garamond" w:cstheme="minorBidi" w:eastAsiaTheme="minorHAnsi"/>
          <w:sz w:val="24"/>
          <w:szCs w:val="24"/>
          <w:highlight w:val="white"/>
        </w:rPr>
        <w:t>Revisão da cobertura,</w:t>
      </w:r>
    </w:p>
    <w:p>
      <w:pPr>
        <w:pStyle w:val="Normal"/>
        <w:numPr>
          <w:ilvl w:val="0"/>
          <w:numId w:val="3"/>
        </w:numPr>
        <w:spacing w:before="0" w:after="0"/>
        <w:rPr>
          <w:rFonts w:ascii="Garamond" w:hAnsi="Garamond" w:cs="" w:cstheme="minorBidi"/>
          <w:sz w:val="24"/>
          <w:szCs w:val="24"/>
          <w:highlight w:val="white"/>
        </w:rPr>
      </w:pPr>
      <w:r>
        <w:rPr>
          <w:rFonts w:eastAsia="Calibri" w:cs="" w:ascii="Garamond" w:hAnsi="Garamond" w:cstheme="minorBidi" w:eastAsiaTheme="minorHAnsi"/>
          <w:sz w:val="24"/>
          <w:szCs w:val="24"/>
          <w:highlight w:val="white"/>
        </w:rPr>
        <w:t xml:space="preserve">Imunização contra insetos xilófagos; </w:t>
      </w:r>
    </w:p>
    <w:p>
      <w:pPr>
        <w:pStyle w:val="Normal"/>
        <w:numPr>
          <w:ilvl w:val="0"/>
          <w:numId w:val="3"/>
        </w:numPr>
        <w:spacing w:before="0" w:after="0"/>
        <w:rPr>
          <w:rFonts w:ascii="Garamond" w:hAnsi="Garamond" w:cs="" w:cstheme="minorBidi"/>
          <w:sz w:val="24"/>
          <w:szCs w:val="24"/>
          <w:highlight w:val="white"/>
        </w:rPr>
      </w:pPr>
      <w:r>
        <w:rPr>
          <w:rFonts w:eastAsia="Calibri" w:cs="" w:ascii="Garamond" w:hAnsi="Garamond" w:cstheme="minorBidi" w:eastAsiaTheme="minorHAnsi"/>
          <w:sz w:val="24"/>
          <w:szCs w:val="24"/>
          <w:highlight w:val="white"/>
        </w:rPr>
        <w:t xml:space="preserve">Estabilização de alvenarias e recalques estruturais de pequenas proporções; </w:t>
      </w:r>
    </w:p>
    <w:p>
      <w:pPr>
        <w:pStyle w:val="Normal"/>
        <w:numPr>
          <w:ilvl w:val="0"/>
          <w:numId w:val="3"/>
        </w:numPr>
        <w:spacing w:before="0" w:after="0"/>
        <w:rPr>
          <w:rFonts w:ascii="Garamond" w:hAnsi="Garamond" w:cs="" w:cstheme="minorBidi"/>
          <w:sz w:val="24"/>
          <w:szCs w:val="24"/>
          <w:highlight w:val="white"/>
        </w:rPr>
      </w:pPr>
      <w:r>
        <w:rPr>
          <w:rFonts w:eastAsia="Calibri" w:cs="" w:ascii="Garamond" w:hAnsi="Garamond" w:cstheme="minorBidi" w:eastAsiaTheme="minorHAnsi"/>
          <w:sz w:val="24"/>
          <w:szCs w:val="24"/>
          <w:highlight w:val="white"/>
        </w:rPr>
        <w:t xml:space="preserve">Reconstituição de alvenarias arruinadas; </w:t>
      </w:r>
    </w:p>
    <w:p>
      <w:pPr>
        <w:pStyle w:val="Normal"/>
        <w:numPr>
          <w:ilvl w:val="0"/>
          <w:numId w:val="3"/>
        </w:numPr>
        <w:spacing w:before="0" w:after="0"/>
        <w:rPr>
          <w:rFonts w:ascii="Garamond" w:hAnsi="Garamond" w:cs="" w:cstheme="minorBidi"/>
          <w:sz w:val="24"/>
          <w:szCs w:val="24"/>
          <w:highlight w:val="white"/>
        </w:rPr>
      </w:pPr>
      <w:r>
        <w:rPr>
          <w:rFonts w:eastAsia="Calibri" w:cs="" w:ascii="Garamond" w:hAnsi="Garamond" w:cstheme="minorBidi" w:eastAsiaTheme="minorHAnsi"/>
          <w:sz w:val="24"/>
          <w:szCs w:val="24"/>
          <w:highlight w:val="white"/>
        </w:rPr>
        <w:t xml:space="preserve">Revisão de esquadrias, </w:t>
      </w:r>
    </w:p>
    <w:p>
      <w:pPr>
        <w:pStyle w:val="Normal"/>
        <w:numPr>
          <w:ilvl w:val="0"/>
          <w:numId w:val="3"/>
        </w:numPr>
        <w:spacing w:before="0" w:after="0"/>
        <w:rPr>
          <w:rFonts w:ascii="Garamond" w:hAnsi="Garamond" w:cs="" w:cstheme="minorBidi"/>
          <w:sz w:val="24"/>
          <w:szCs w:val="24"/>
          <w:highlight w:val="white"/>
        </w:rPr>
      </w:pPr>
      <w:r>
        <w:rPr>
          <w:rFonts w:eastAsia="Calibri" w:cs="" w:ascii="Garamond" w:hAnsi="Garamond" w:cstheme="minorBidi" w:eastAsiaTheme="minorHAnsi"/>
          <w:sz w:val="24"/>
          <w:szCs w:val="24"/>
          <w:highlight w:val="white"/>
        </w:rPr>
        <w:t>Limpeza e capina do terreno.</w:t>
      </w:r>
    </w:p>
    <w:p>
      <w:pPr>
        <w:pStyle w:val="Normal"/>
        <w:numPr>
          <w:ilvl w:val="0"/>
          <w:numId w:val="0"/>
        </w:numPr>
        <w:spacing w:before="0" w:after="0"/>
        <w:ind w:left="720" w:hanging="0"/>
        <w:rPr/>
      </w:pPr>
      <w:r>
        <w:rPr/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spacing w:lineRule="auto" w:line="240" w:before="0" w:after="0"/>
        <w:textAlignment w:val="baseline"/>
        <w:rPr/>
      </w:pPr>
      <w:r>
        <w:rPr>
          <w:rFonts w:eastAsia="Times New Roman" w:cs="Garamond" w:ascii="Garamond" w:hAnsi="Garamond"/>
          <w:b/>
          <w:bCs/>
          <w:sz w:val="24"/>
          <w:szCs w:val="24"/>
          <w:lang w:eastAsia="zh-CN"/>
        </w:rPr>
        <w:t>Encerramento</w:t>
      </w:r>
    </w:p>
    <w:p>
      <w:pPr>
        <w:pStyle w:val="Normal"/>
        <w:suppressAutoHyphens w:val="true"/>
        <w:spacing w:before="0" w:after="0"/>
        <w:ind w:firstLine="709"/>
        <w:jc w:val="both"/>
        <w:textAlignment w:val="baseline"/>
        <w:rPr>
          <w:rFonts w:ascii="Garamond" w:hAnsi="Garamond" w:eastAsia="Times New Roman" w:cs="Garamond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sz w:val="24"/>
          <w:szCs w:val="24"/>
          <w:lang w:eastAsia="zh-CN"/>
        </w:rPr>
      </w:r>
    </w:p>
    <w:p>
      <w:pPr>
        <w:pStyle w:val="Normal"/>
        <w:suppressAutoHyphens w:val="true"/>
        <w:spacing w:before="0" w:after="0"/>
        <w:ind w:firstLine="709"/>
        <w:jc w:val="both"/>
        <w:textAlignment w:val="baseline"/>
        <w:rPr>
          <w:rFonts w:ascii="Garamond" w:hAnsi="Garamond" w:eastAsia="Times New Roman" w:cs="Garamond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sz w:val="24"/>
          <w:szCs w:val="24"/>
          <w:lang w:eastAsia="zh-CN"/>
        </w:rPr>
        <w:t>São essas as considerações do Setor Técnico desta Promotoria, que se coloca à disposição para o que mais se fizer necessário.</w:t>
      </w:r>
    </w:p>
    <w:p>
      <w:pPr>
        <w:pStyle w:val="Normal"/>
        <w:suppressAutoHyphens w:val="true"/>
        <w:spacing w:before="0" w:after="0"/>
        <w:ind w:firstLine="2160"/>
        <w:jc w:val="right"/>
        <w:textAlignment w:val="baseline"/>
        <w:rPr>
          <w:rFonts w:ascii="Garamond" w:hAnsi="Garamond" w:eastAsia="Times New Roman" w:cs="Garamond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sz w:val="24"/>
          <w:szCs w:val="24"/>
          <w:lang w:eastAsia="zh-CN"/>
        </w:rPr>
      </w:r>
    </w:p>
    <w:p>
      <w:pPr>
        <w:pStyle w:val="Normal"/>
        <w:suppressAutoHyphens w:val="true"/>
        <w:spacing w:before="0" w:after="0"/>
        <w:ind w:firstLine="2160"/>
        <w:jc w:val="right"/>
        <w:textAlignment w:val="baseline"/>
        <w:rPr>
          <w:rFonts w:ascii="Garamond" w:hAnsi="Garamond" w:eastAsia="Times New Roman" w:cs="Garamond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sz w:val="24"/>
          <w:szCs w:val="24"/>
          <w:lang w:eastAsia="zh-CN"/>
        </w:rPr>
      </w:r>
    </w:p>
    <w:p>
      <w:pPr>
        <w:pStyle w:val="Normal"/>
        <w:suppressAutoHyphens w:val="true"/>
        <w:spacing w:before="0" w:after="0"/>
        <w:ind w:firstLine="2160"/>
        <w:jc w:val="right"/>
        <w:textAlignment w:val="baseline"/>
        <w:rPr/>
      </w:pPr>
      <w:r>
        <w:rPr>
          <w:rFonts w:eastAsia="Times New Roman" w:cs="Garamond" w:ascii="Garamond" w:hAnsi="Garamond"/>
          <w:sz w:val="24"/>
          <w:szCs w:val="24"/>
          <w:lang w:eastAsia="zh-CN"/>
        </w:rPr>
        <w:t>Belo Horizonte, 03 de julho de 2018.</w:t>
      </w:r>
    </w:p>
    <w:p>
      <w:pPr>
        <w:pStyle w:val="Normal"/>
        <w:suppressAutoHyphens w:val="true"/>
        <w:spacing w:before="0" w:after="0"/>
        <w:ind w:firstLine="709"/>
        <w:jc w:val="center"/>
        <w:textAlignment w:val="baseline"/>
        <w:rPr>
          <w:rFonts w:ascii="Garamond" w:hAnsi="Garamond" w:eastAsia="Times New Roman" w:cs="Garamond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sz w:val="24"/>
          <w:szCs w:val="24"/>
          <w:lang w:eastAsia="zh-CN"/>
        </w:rPr>
      </w:r>
    </w:p>
    <w:p>
      <w:pPr>
        <w:pStyle w:val="Normal"/>
        <w:suppressAutoHyphens w:val="true"/>
        <w:spacing w:before="0" w:after="0"/>
        <w:ind w:firstLine="709"/>
        <w:jc w:val="center"/>
        <w:textAlignment w:val="baseline"/>
        <w:rPr>
          <w:rFonts w:ascii="Garamond" w:hAnsi="Garamond" w:eastAsia="Times New Roman" w:cs="Garamond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sz w:val="24"/>
          <w:szCs w:val="24"/>
          <w:lang w:eastAsia="zh-CN"/>
        </w:rPr>
      </w:r>
    </w:p>
    <w:p>
      <w:pPr>
        <w:pStyle w:val="Normal"/>
        <w:suppressAutoHyphens w:val="true"/>
        <w:spacing w:before="0" w:after="0"/>
        <w:ind w:firstLine="709"/>
        <w:jc w:val="center"/>
        <w:textAlignment w:val="baseline"/>
        <w:rPr>
          <w:rFonts w:ascii="Garamond" w:hAnsi="Garamond" w:eastAsia="Times New Roman" w:cs="Garamond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sz w:val="24"/>
          <w:szCs w:val="24"/>
          <w:lang w:eastAsia="zh-CN"/>
        </w:rPr>
        <w:t>Andréa Lanna Mendes Novais</w:t>
      </w:r>
    </w:p>
    <w:p>
      <w:pPr>
        <w:pStyle w:val="Normal"/>
        <w:suppressAutoHyphens w:val="true"/>
        <w:spacing w:before="0" w:after="0"/>
        <w:ind w:firstLine="709"/>
        <w:jc w:val="center"/>
        <w:textAlignment w:val="baseline"/>
        <w:rPr>
          <w:rFonts w:ascii="Garamond" w:hAnsi="Garamond" w:eastAsia="Times New Roman" w:cs="Garamond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sz w:val="24"/>
          <w:szCs w:val="24"/>
          <w:lang w:eastAsia="zh-CN"/>
        </w:rPr>
        <w:t>Analista do Ministério Público – MAMP 3951</w:t>
      </w:r>
    </w:p>
    <w:p>
      <w:pPr>
        <w:pStyle w:val="Normal"/>
        <w:suppressAutoHyphens w:val="true"/>
        <w:spacing w:before="0" w:after="0"/>
        <w:ind w:firstLine="709"/>
        <w:jc w:val="center"/>
        <w:textAlignment w:val="baseline"/>
        <w:rPr>
          <w:rFonts w:ascii="Garamond" w:hAnsi="Garamond" w:eastAsia="Times New Roman" w:cs="Garamond"/>
          <w:sz w:val="24"/>
          <w:szCs w:val="24"/>
          <w:lang w:eastAsia="zh-CN"/>
        </w:rPr>
      </w:pPr>
      <w:r>
        <w:rPr>
          <w:rFonts w:eastAsia="Times New Roman" w:cs="Garamond" w:ascii="Garamond" w:hAnsi="Garamond"/>
          <w:sz w:val="24"/>
          <w:szCs w:val="24"/>
          <w:lang w:eastAsia="zh-CN"/>
        </w:rPr>
        <w:t>Arquiteta Urbanista – CAU 27713-4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8"/>
      <w:footerReference w:type="default" r:id="rId9"/>
      <w:footnotePr>
        <w:numFmt w:val="decimal"/>
      </w:footnotePr>
      <w:type w:val="nextPage"/>
      <w:pgSz w:w="12240" w:h="15840"/>
      <w:pgMar w:left="1701" w:right="1701" w:header="567" w:top="624" w:footer="567" w:bottom="624" w:gutter="0"/>
      <w:pgNumType w:fmt="decimal"/>
      <w:formProt w:val="false"/>
      <w:textDirection w:val="lrTb"/>
      <w:docGrid w:type="default" w:linePitch="60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Garamond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aramond">
    <w:charset w:val="01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4419" w:leader="none"/>
        <w:tab w:val="right" w:pos="8838" w:leader="none"/>
      </w:tabs>
      <w:suppressAutoHyphens w:val="true"/>
      <w:spacing w:lineRule="auto" w:line="240" w:before="0" w:after="0"/>
      <w:textAlignment w:val="baseline"/>
      <w:rPr>
        <w:rFonts w:ascii="Times New Roman" w:hAnsi="Times New Roman" w:eastAsia="Times New Roman" w:cs="Times New Roman"/>
        <w:sz w:val="24"/>
        <w:szCs w:val="24"/>
        <w:lang w:eastAsia="zh-CN"/>
      </w:rPr>
    </w:pPr>
    <w:r>
      <w:rPr>
        <w:rFonts w:eastAsia="Times New Roman" w:cs="Times New Roman" w:ascii="Times New Roman" w:hAnsi="Times New Roman"/>
        <w:sz w:val="24"/>
        <w:szCs w:val="24"/>
        <w:lang w:eastAsia="zh-CN"/>
      </w:rPr>
      <w:drawing>
        <wp:anchor behindDoc="1" distT="0" distB="0" distL="0" distR="0" simplePos="0" locked="0" layoutInCell="1" allowOverlap="1" relativeHeight="13">
          <wp:simplePos x="0" y="0"/>
          <wp:positionH relativeFrom="column">
            <wp:align>center</wp:align>
          </wp:positionH>
          <wp:positionV relativeFrom="paragraph">
            <wp:posOffset>5080</wp:posOffset>
          </wp:positionV>
          <wp:extent cx="5399405" cy="446405"/>
          <wp:effectExtent l="0" t="0" r="0" b="0"/>
          <wp:wrapSquare wrapText="largest"/>
          <wp:docPr id="10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9" t="-112" r="-9" b="-112"/>
                  <a:stretch>
                    <a:fillRect/>
                  </a:stretch>
                </pic:blipFill>
                <pic:spPr bwMode="auto">
                  <a:xfrm>
                    <a:off x="0" y="0"/>
                    <a:ext cx="5399405" cy="446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Notaderodap"/>
        <w:spacing w:before="0" w:after="200"/>
        <w:jc w:val="both"/>
        <w:rPr/>
      </w:pPr>
      <w:r>
        <w:rPr>
          <w:rFonts w:ascii="Garamond" w:hAnsi="Garamond"/>
          <w:sz w:val="20"/>
          <w:szCs w:val="20"/>
        </w:rPr>
        <w:footnoteRef/>
        <w:tab/>
        <w:t xml:space="preserve"> </w:t>
      </w:r>
      <w:r>
        <w:rPr>
          <w:rFonts w:ascii="Garamond" w:hAnsi="Garamond"/>
          <w:sz w:val="20"/>
          <w:szCs w:val="20"/>
        </w:rPr>
        <w:t>Restauração: conjunto de intervenções de caráter intensivo que, com base em metodologia e técnica específicas, visa recuperar a plenitude de expressão e a perenidade do bem cultural, respeitadas as marcas de sua passagem através do tempo. Instrução Normativa n º 1/2003 – Instituto do Patrimônio Histórico e Artístico Nacional – IPHAN.</w:t>
      </w:r>
    </w:p>
  </w:footnote>
  <w:footnote w:id="3">
    <w:p>
      <w:pPr>
        <w:pStyle w:val="Normal"/>
        <w:bidi w:val="0"/>
        <w:spacing w:before="0" w:after="0"/>
        <w:ind w:left="0" w:right="0" w:hanging="0"/>
        <w:jc w:val="both"/>
        <w:rPr>
          <w:sz w:val="20"/>
          <w:szCs w:val="20"/>
        </w:rPr>
      </w:pPr>
      <w:r>
        <w:rPr>
          <w:rFonts w:ascii="Garamond" w:hAnsi="Garamond"/>
          <w:sz w:val="20"/>
          <w:szCs w:val="20"/>
        </w:rPr>
        <w:footnoteRef/>
        <w:tab/>
      </w:r>
      <w:r>
        <w:rPr>
          <w:rFonts w:ascii="Garamond" w:hAnsi="Garamond"/>
          <w:sz w:val="20"/>
          <w:szCs w:val="20"/>
        </w:rPr>
        <w:t>No Dossiê de Tombamento do Núcleo Histórico de Vitoriano Veloso foram estabelecidos graus diferenciados de proteção, variando do 1 ao 4, sendo o 1 o mais restritivo, aplicado a edificações de extrema relevância histórica e/ou arquitetônica, consideradas referências do distrito tombado. A edificação em questão foi definida com grau de proteção 1</w:t>
      </w:r>
    </w:p>
    <w:p>
      <w:pPr>
        <w:pStyle w:val="Normal"/>
        <w:bidi w:val="0"/>
        <w:spacing w:before="0" w:after="0"/>
        <w:ind w:left="0" w:right="0" w:hanging="0"/>
        <w:jc w:val="both"/>
        <w:rPr/>
      </w:pPr>
      <w:r>
        <w:rPr/>
      </w:r>
    </w:p>
  </w:footnote>
  <w:footnote w:id="4"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Garamond" w:ascii="Garamond" w:hAnsi="Garamond"/>
          <w:b w:val="false"/>
          <w:bCs w:val="false"/>
          <w:sz w:val="20"/>
          <w:szCs w:val="20"/>
        </w:rPr>
        <w:footnoteRef/>
        <w:tab/>
      </w:r>
      <w:r>
        <w:rPr>
          <w:rFonts w:cs="Garamond" w:ascii="Garamond" w:hAnsi="Garamond"/>
          <w:b w:val="false"/>
          <w:bCs w:val="false"/>
          <w:sz w:val="20"/>
          <w:szCs w:val="20"/>
        </w:rPr>
        <w:t xml:space="preserve">Processo 383-T-Inscrito no </w:t>
      </w:r>
      <w:r>
        <w:rPr>
          <w:rStyle w:val="Nfaseforte"/>
          <w:rFonts w:cs="Garamond" w:ascii="Garamond" w:hAnsi="Garamond"/>
          <w:b w:val="false"/>
          <w:bCs w:val="false"/>
          <w:sz w:val="20"/>
          <w:szCs w:val="20"/>
        </w:rPr>
        <w:t>Livro do Tombo Belas Artes:</w:t>
      </w:r>
      <w:r>
        <w:rPr>
          <w:rFonts w:cs="Garamond" w:ascii="Garamond" w:hAnsi="Garamond"/>
          <w:b w:val="false"/>
          <w:bCs w:val="false"/>
          <w:sz w:val="20"/>
          <w:szCs w:val="20"/>
        </w:rPr>
        <w:t xml:space="preserve"> Inscr. nº 323, de 27/07/1949 </w:t>
      </w:r>
    </w:p>
  </w:footnote>
  <w:footnote w:id="5">
    <w:p>
      <w:pPr>
        <w:pStyle w:val="Notaderodap"/>
        <w:spacing w:before="0" w:after="200"/>
        <w:rPr/>
      </w:pPr>
      <w:r>
        <w:rPr>
          <w:rFonts w:ascii="Garamond" w:hAnsi="Garamond"/>
          <w:sz w:val="20"/>
          <w:szCs w:val="20"/>
        </w:rPr>
        <w:footnoteRef/>
        <w:tab/>
      </w:r>
      <w:r>
        <w:rPr>
          <w:rFonts w:ascii="Garamond" w:hAnsi="Garamond"/>
          <w:sz w:val="20"/>
          <w:szCs w:val="20"/>
        </w:rPr>
        <w:t>A Carta de Atenas foi solenemente promulgada pela Sociedade das Nações. Atenas, Outubro de 1931.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4419" w:leader="none"/>
        <w:tab w:val="right" w:pos="8838" w:leader="none"/>
      </w:tabs>
      <w:suppressAutoHyphens w:val="true"/>
      <w:spacing w:lineRule="auto" w:line="240" w:before="0" w:after="0"/>
      <w:ind w:right="360" w:hanging="0"/>
      <w:jc w:val="center"/>
      <w:textAlignment w:val="baseline"/>
      <w:rPr/>
    </w:pPr>
    <w:bookmarkStart w:id="0" w:name="_GoBack"/>
    <w:bookmarkEnd w:id="0"/>
    <w:r>
      <w:rPr/>
      <w:drawing>
        <wp:inline distT="0" distB="0" distL="0" distR="0">
          <wp:extent cx="5334000" cy="807085"/>
          <wp:effectExtent l="0" t="0" r="0" b="0"/>
          <wp:docPr id="9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9" t="-61" r="-9" b="-61"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807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mc:AlternateContent>
        <mc:Choice Requires="wps">
          <w:drawing>
            <wp:anchor behindDoc="1" distT="0" distB="0" distL="114300" distR="114300" simplePos="0" locked="0" layoutInCell="1" allowOverlap="1" relativeHeight="7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80010" cy="170180"/>
              <wp:effectExtent l="0" t="0" r="0" b="0"/>
              <wp:wrapSquare wrapText="bothSides"/>
              <wp:docPr id="7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00" cy="16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abealh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stroked="f" style="position:absolute;margin-left:426.6pt;margin-top:0.05pt;width:6.2pt;height:13.3pt;mso-position-horizontal:right;mso-position-horizontal-relative:margin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abealh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footnotePr>
    <w:numFmt w:val="decimal"/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otnotereference">
    <w:name w:val="footnote reference"/>
    <w:uiPriority w:val="99"/>
    <w:semiHidden/>
    <w:unhideWhenUsed/>
    <w:qFormat/>
    <w:rsid w:val="00c72399"/>
    <w:rPr>
      <w:vertAlign w:val="superscript"/>
    </w:rPr>
  </w:style>
  <w:style w:type="character" w:styleId="TextodenotaderodapChar" w:customStyle="1">
    <w:name w:val="Texto de nota de rodapé Char"/>
    <w:basedOn w:val="DefaultParagraphFont"/>
    <w:link w:val="Textodenotaderodap"/>
    <w:uiPriority w:val="99"/>
    <w:semiHidden/>
    <w:qFormat/>
    <w:rsid w:val="00c72399"/>
    <w:rPr>
      <w:rFonts w:ascii="Times New Roman" w:hAnsi="Times New Roman" w:eastAsia="SimSun" w:cs="Mangal"/>
      <w:sz w:val="20"/>
      <w:szCs w:val="18"/>
      <w:lang w:eastAsia="zh-CN" w:bidi="hi-IN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c72399"/>
    <w:rPr/>
  </w:style>
  <w:style w:type="character" w:styleId="RodapChar" w:customStyle="1">
    <w:name w:val="Rodapé Char"/>
    <w:basedOn w:val="DefaultParagraphFont"/>
    <w:link w:val="Rodap"/>
    <w:uiPriority w:val="99"/>
    <w:qFormat/>
    <w:rsid w:val="00c72399"/>
    <w:rPr/>
  </w:style>
  <w:style w:type="character" w:styleId="Pagenumber">
    <w:name w:val="page number"/>
    <w:basedOn w:val="DefaultParagraphFont"/>
    <w:qFormat/>
    <w:rsid w:val="00c7239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c72399"/>
    <w:rPr>
      <w:rFonts w:ascii="Tahoma" w:hAnsi="Tahoma" w:cs="Tahoma"/>
      <w:sz w:val="16"/>
      <w:szCs w:val="16"/>
    </w:rPr>
  </w:style>
  <w:style w:type="character" w:styleId="Fontepargpadro">
    <w:name w:val="Fonte parág. padrão"/>
    <w:qFormat/>
    <w:rPr/>
  </w:style>
  <w:style w:type="character" w:styleId="Caracteresdenotaderodap">
    <w:name w:val="Caracteres de nota de rodapé"/>
    <w:basedOn w:val="Fontepargpadro"/>
    <w:qFormat/>
    <w:rPr>
      <w:vertAlign w:val="superscript"/>
    </w:rPr>
  </w:style>
  <w:style w:type="character" w:styleId="Ncoradanotaderodap">
    <w:name w:val="Âncora da nota de rodapé"/>
    <w:rPr>
      <w:vertAlign w:val="superscript"/>
    </w:rPr>
  </w:style>
  <w:style w:type="character" w:styleId="WW8Num27z0">
    <w:name w:val="WW8Num27z0"/>
    <w:qFormat/>
    <w:rPr>
      <w:rFonts w:ascii="Symbol" w:hAnsi="Symbol" w:cs="Symbol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10z0">
    <w:name w:val="WW8Num10z0"/>
    <w:qFormat/>
    <w:rPr/>
  </w:style>
  <w:style w:type="character" w:styleId="WW8Num10z1">
    <w:name w:val="WW8Num10z1"/>
    <w:qFormat/>
    <w:rPr>
      <w:rFonts w:ascii="Symbol" w:hAnsi="Symbol" w:cs="Symbol"/>
    </w:rPr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Ncoradanotadefim">
    <w:name w:val="Âncora da nota de fim"/>
    <w:rPr>
      <w:vertAlign w:val="superscript"/>
    </w:rPr>
  </w:style>
  <w:style w:type="character" w:styleId="Caracteresdenotadefim">
    <w:name w:val="Caracteres de nota de fim"/>
    <w:qFormat/>
    <w:rPr/>
  </w:style>
  <w:style w:type="character" w:styleId="ListLabel1">
    <w:name w:val="ListLabel 1"/>
    <w:qFormat/>
    <w:rPr>
      <w:rFonts w:ascii="Times New Roman" w:hAnsi="Times New Roman" w:cs="Symbol"/>
      <w:sz w:val="24"/>
    </w:rPr>
  </w:style>
  <w:style w:type="character" w:styleId="ListLabel2">
    <w:name w:val="ListLabel 2"/>
    <w:qFormat/>
    <w:rPr>
      <w:rFonts w:cs="Symbol"/>
    </w:rPr>
  </w:style>
  <w:style w:type="character" w:styleId="ListLabel3">
    <w:name w:val="ListLabel 3"/>
    <w:qFormat/>
    <w:rPr>
      <w:rFonts w:ascii="Times New Roman" w:hAnsi="Times New Roman" w:cs="Symbol"/>
      <w:sz w:val="24"/>
    </w:rPr>
  </w:style>
  <w:style w:type="character" w:styleId="ListLabel4">
    <w:name w:val="ListLabel 4"/>
    <w:qFormat/>
    <w:rPr>
      <w:rFonts w:cs="Symbol"/>
    </w:rPr>
  </w:style>
  <w:style w:type="character" w:styleId="Nfaseforte">
    <w:name w:val="Ênfase forte"/>
    <w:qFormat/>
    <w:rPr>
      <w:b/>
      <w:bCs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WW8Num1z0">
    <w:name w:val="WW8Num1z0"/>
    <w:qFormat/>
    <w:rPr>
      <w:rFonts w:ascii="Symbol" w:hAnsi="Symbol" w:cs="Symbol"/>
      <w:sz w:val="20"/>
    </w:rPr>
  </w:style>
  <w:style w:type="character" w:styleId="WW8Num1z1">
    <w:name w:val="WW8Num1z1"/>
    <w:qFormat/>
    <w:rPr>
      <w:rFonts w:ascii="Courier New" w:hAnsi="Courier New" w:cs="Courier New"/>
      <w:sz w:val="20"/>
    </w:rPr>
  </w:style>
  <w:style w:type="character" w:styleId="WW8Num1z2">
    <w:name w:val="WW8Num1z2"/>
    <w:qFormat/>
    <w:rPr>
      <w:rFonts w:ascii="Wingdings" w:hAnsi="Wingdings" w:cs="Wingdings"/>
      <w:sz w:val="20"/>
    </w:rPr>
  </w:style>
  <w:style w:type="character" w:styleId="ListLabel5">
    <w:name w:val="ListLabel 5"/>
    <w:qFormat/>
    <w:rPr>
      <w:rFonts w:cs="OpenSymbol"/>
      <w:b w:val="false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ascii="Garamond" w:hAnsi="Garamond" w:cs="Symbol"/>
      <w:sz w:val="24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Footnotetext">
    <w:name w:val="footnote text"/>
    <w:basedOn w:val="Normal"/>
    <w:link w:val="TextodenotaderodapChar"/>
    <w:uiPriority w:val="99"/>
    <w:semiHidden/>
    <w:unhideWhenUsed/>
    <w:qFormat/>
    <w:rsid w:val="00c72399"/>
    <w:pPr>
      <w:widowControl w:val="false"/>
      <w:suppressAutoHyphens w:val="true"/>
      <w:spacing w:lineRule="auto" w:line="240" w:before="0" w:after="0"/>
      <w:textAlignment w:val="baseline"/>
    </w:pPr>
    <w:rPr>
      <w:rFonts w:ascii="Times New Roman" w:hAnsi="Times New Roman" w:eastAsia="SimSun" w:cs="Mangal"/>
      <w:sz w:val="20"/>
      <w:szCs w:val="18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c7239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c7239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c7239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7692"/>
    <w:pPr>
      <w:spacing w:before="0" w:after="200"/>
      <w:ind w:left="720" w:hanging="0"/>
      <w:contextualSpacing/>
    </w:pPr>
    <w:rPr/>
  </w:style>
  <w:style w:type="paragraph" w:styleId="Contedodoquadro">
    <w:name w:val="Conteúdo do quadro"/>
    <w:basedOn w:val="Normal"/>
    <w:qFormat/>
    <w:pPr/>
    <w:rPr/>
  </w:style>
  <w:style w:type="paragraph" w:styleId="Notaderodap">
    <w:name w:val="Footnote Text"/>
    <w:basedOn w:val="Normal"/>
    <w:pPr/>
    <w:rPr/>
  </w:style>
  <w:style w:type="paragraph" w:styleId="Recuodecorpodetexto3">
    <w:name w:val="Recuo de corpo de texto 3"/>
    <w:basedOn w:val="Normal"/>
    <w:qFormat/>
    <w:pPr>
      <w:ind w:left="240" w:firstLine="468"/>
      <w:jc w:val="both"/>
    </w:pPr>
    <w:rPr/>
  </w:style>
  <w:style w:type="paragraph" w:styleId="Contedodatabela">
    <w:name w:val="Conteúdo da tabel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27">
    <w:name w:val="WW8Num27"/>
    <w:qFormat/>
  </w:style>
  <w:style w:type="numbering" w:styleId="WW8Num10">
    <w:name w:val="WW8Num10"/>
    <w:qFormat/>
  </w:style>
  <w:style w:type="numbering" w:styleId="WW8Num1">
    <w:name w:val="WW8Num1"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notes" Target="footnotes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8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Application>LibreOffice/5.3.7.2$Windows_X86_64 LibreOffice_project/6b8ed514a9f8b44d37a1b96673cbbdd077e24059</Application>
  <Pages>6</Pages>
  <Words>1691</Words>
  <Characters>9360</Characters>
  <CharactersWithSpaces>11017</CharactersWithSpaces>
  <Paragraphs>84</Paragraphs>
  <Company>Ministério Público do Estado de Minas Gerais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2017-08-21T18:39:00Z</dcterms:created>
  <dc:creator>Andrea Lanna Mendes Novais</dc:creator>
  <dc:description/>
  <dc:language>pt-BR</dc:language>
  <cp:lastModifiedBy/>
  <dcterms:modified xsi:type="dcterms:W3CDTF">2018-07-12T13:52:42Z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Ministério Público do Estado de Minas Gerais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